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E3ECA" w14:textId="250AC1E4" w:rsidR="00F250BE" w:rsidRPr="00B266B0" w:rsidRDefault="00F250BE" w:rsidP="00F250BE">
      <w:pPr>
        <w:pStyle w:val="Header"/>
        <w:tabs>
          <w:tab w:val="right" w:pos="9639"/>
        </w:tabs>
        <w:rPr>
          <w:bCs/>
          <w:i/>
          <w:noProof w:val="0"/>
          <w:sz w:val="24"/>
          <w:szCs w:val="24"/>
        </w:rPr>
      </w:pPr>
      <w:r w:rsidRPr="003A41EF">
        <w:rPr>
          <w:bCs/>
          <w:noProof w:val="0"/>
          <w:sz w:val="24"/>
          <w:szCs w:val="24"/>
        </w:rPr>
        <w:t xml:space="preserve">3GPP TSG-RAN WG2 Meeting </w:t>
      </w:r>
      <w:r w:rsidR="00EE36C7">
        <w:rPr>
          <w:bCs/>
          <w:noProof w:val="0"/>
          <w:sz w:val="24"/>
          <w:szCs w:val="24"/>
        </w:rPr>
        <w:t>#11</w:t>
      </w:r>
      <w:r w:rsidR="008C14EC">
        <w:rPr>
          <w:bCs/>
          <w:noProof w:val="0"/>
          <w:sz w:val="24"/>
          <w:szCs w:val="24"/>
        </w:rPr>
        <w:t>7e</w:t>
      </w:r>
      <w:r w:rsidRPr="00B266B0">
        <w:rPr>
          <w:bCs/>
          <w:noProof w:val="0"/>
          <w:sz w:val="24"/>
          <w:szCs w:val="24"/>
        </w:rPr>
        <w:tab/>
      </w:r>
      <w:r w:rsidR="00CF6C3E" w:rsidRPr="00CF6C3E">
        <w:rPr>
          <w:bCs/>
          <w:noProof w:val="0"/>
          <w:sz w:val="24"/>
          <w:szCs w:val="24"/>
        </w:rPr>
        <w:t>R2-2203348</w:t>
      </w:r>
    </w:p>
    <w:p w14:paraId="178B95A4" w14:textId="66566978" w:rsidR="00F250BE" w:rsidRPr="00465587" w:rsidRDefault="00EE36C7" w:rsidP="00F250BE">
      <w:pPr>
        <w:pStyle w:val="Header"/>
        <w:tabs>
          <w:tab w:val="right" w:pos="9639"/>
        </w:tabs>
        <w:rPr>
          <w:bCs/>
          <w:sz w:val="24"/>
          <w:szCs w:val="24"/>
          <w:lang w:eastAsia="zh-CN"/>
        </w:rPr>
      </w:pPr>
      <w:r>
        <w:rPr>
          <w:bCs/>
          <w:sz w:val="24"/>
          <w:szCs w:val="24"/>
          <w:lang w:eastAsia="zh-CN"/>
        </w:rPr>
        <w:t>Online</w:t>
      </w:r>
      <w:r w:rsidR="00F250BE" w:rsidRPr="006574C0">
        <w:rPr>
          <w:bCs/>
          <w:sz w:val="24"/>
          <w:szCs w:val="24"/>
          <w:lang w:eastAsia="zh-CN"/>
        </w:rPr>
        <w:t xml:space="preserve">, </w:t>
      </w:r>
      <w:r w:rsidR="002F5AEB">
        <w:rPr>
          <w:bCs/>
          <w:sz w:val="24"/>
          <w:szCs w:val="24"/>
          <w:lang w:eastAsia="zh-CN"/>
        </w:rPr>
        <w:t>21</w:t>
      </w:r>
      <w:r w:rsidR="004121A2">
        <w:rPr>
          <w:bCs/>
          <w:sz w:val="24"/>
          <w:szCs w:val="24"/>
          <w:lang w:eastAsia="zh-CN"/>
        </w:rPr>
        <w:t xml:space="preserve"> Feb</w:t>
      </w:r>
      <w:r w:rsidR="00F52E65">
        <w:rPr>
          <w:bCs/>
          <w:sz w:val="24"/>
          <w:szCs w:val="24"/>
          <w:lang w:eastAsia="zh-CN"/>
        </w:rPr>
        <w:t xml:space="preserve">ruary </w:t>
      </w:r>
      <w:r w:rsidR="004121A2">
        <w:rPr>
          <w:bCs/>
          <w:sz w:val="24"/>
          <w:szCs w:val="24"/>
          <w:lang w:eastAsia="zh-CN"/>
        </w:rPr>
        <w:t>– 3</w:t>
      </w:r>
      <w:r w:rsidR="002F5AEB" w:rsidRPr="002F5AEB">
        <w:rPr>
          <w:bCs/>
          <w:sz w:val="24"/>
          <w:szCs w:val="24"/>
          <w:lang w:eastAsia="zh-CN"/>
        </w:rPr>
        <w:t xml:space="preserve"> Mar</w:t>
      </w:r>
      <w:r w:rsidR="00F52E65">
        <w:rPr>
          <w:bCs/>
          <w:sz w:val="24"/>
          <w:szCs w:val="24"/>
          <w:lang w:eastAsia="zh-CN"/>
        </w:rPr>
        <w:t>ch</w:t>
      </w:r>
      <w:r w:rsidR="002F5AEB" w:rsidRPr="002F5AEB">
        <w:rPr>
          <w:bCs/>
          <w:sz w:val="24"/>
          <w:szCs w:val="24"/>
          <w:lang w:eastAsia="zh-CN"/>
        </w:rPr>
        <w:t>, 2022</w:t>
      </w:r>
      <w:r w:rsidR="00F250BE">
        <w:rPr>
          <w:noProof w:val="0"/>
          <w:sz w:val="24"/>
          <w:szCs w:val="24"/>
          <w:lang w:eastAsia="zh-CN"/>
        </w:rPr>
        <w:tab/>
      </w:r>
    </w:p>
    <w:p w14:paraId="403CB9C0" w14:textId="77777777" w:rsidR="00A209D6" w:rsidRPr="00B266B0" w:rsidRDefault="00A209D6" w:rsidP="00A209D6">
      <w:pPr>
        <w:pStyle w:val="Header"/>
        <w:rPr>
          <w:bCs/>
          <w:noProof w:val="0"/>
          <w:sz w:val="24"/>
        </w:rPr>
      </w:pPr>
    </w:p>
    <w:p w14:paraId="20C12E74" w14:textId="77777777" w:rsidR="00296202" w:rsidRPr="004121A2" w:rsidRDefault="00296202" w:rsidP="00A209D6">
      <w:pPr>
        <w:pStyle w:val="CRCoverPage"/>
        <w:tabs>
          <w:tab w:val="left" w:pos="1985"/>
        </w:tabs>
        <w:rPr>
          <w:rFonts w:cs="Arial"/>
          <w:b/>
          <w:bCs/>
          <w:sz w:val="24"/>
        </w:rPr>
      </w:pPr>
    </w:p>
    <w:p w14:paraId="74AEDB1B" w14:textId="0F49D25A" w:rsidR="00A209D6" w:rsidRPr="00212C18" w:rsidRDefault="00A209D6" w:rsidP="00A209D6">
      <w:pPr>
        <w:pStyle w:val="CRCoverPage"/>
        <w:tabs>
          <w:tab w:val="left" w:pos="1985"/>
        </w:tabs>
        <w:rPr>
          <w:rFonts w:cs="Arial"/>
          <w:b/>
          <w:bCs/>
          <w:sz w:val="24"/>
          <w:lang w:eastAsia="ja-JP"/>
        </w:rPr>
      </w:pPr>
      <w:r w:rsidRPr="00212C18">
        <w:rPr>
          <w:rFonts w:cs="Arial"/>
          <w:b/>
          <w:bCs/>
          <w:sz w:val="24"/>
        </w:rPr>
        <w:t>Agenda item:</w:t>
      </w:r>
      <w:r w:rsidRPr="00212C18">
        <w:rPr>
          <w:rFonts w:cs="Arial"/>
          <w:b/>
          <w:bCs/>
          <w:sz w:val="24"/>
        </w:rPr>
        <w:tab/>
      </w:r>
      <w:r w:rsidR="00513D18">
        <w:rPr>
          <w:rFonts w:cs="Arial"/>
          <w:b/>
          <w:bCs/>
          <w:sz w:val="24"/>
        </w:rPr>
        <w:t>8.14.</w:t>
      </w:r>
      <w:r w:rsidR="00555E0E">
        <w:rPr>
          <w:rFonts w:cs="Arial"/>
          <w:b/>
          <w:bCs/>
          <w:sz w:val="24"/>
        </w:rPr>
        <w:t>3.2</w:t>
      </w:r>
    </w:p>
    <w:p w14:paraId="73188B46" w14:textId="7ADB7E89" w:rsidR="00A209D6" w:rsidRPr="00212C18" w:rsidRDefault="00A209D6" w:rsidP="00A209D6">
      <w:pPr>
        <w:tabs>
          <w:tab w:val="left" w:pos="1985"/>
        </w:tabs>
        <w:ind w:left="1985" w:hanging="1985"/>
        <w:rPr>
          <w:rFonts w:ascii="Arial" w:hAnsi="Arial" w:cs="Arial"/>
          <w:b/>
          <w:bCs/>
          <w:sz w:val="24"/>
        </w:rPr>
      </w:pPr>
      <w:r w:rsidRPr="00212C18">
        <w:rPr>
          <w:rFonts w:ascii="Arial" w:hAnsi="Arial" w:cs="Arial"/>
          <w:b/>
          <w:bCs/>
          <w:sz w:val="24"/>
        </w:rPr>
        <w:t>Source:</w:t>
      </w:r>
      <w:r w:rsidRPr="00212C18">
        <w:rPr>
          <w:rFonts w:ascii="Arial" w:hAnsi="Arial" w:cs="Arial"/>
          <w:b/>
          <w:bCs/>
          <w:sz w:val="24"/>
        </w:rPr>
        <w:tab/>
      </w:r>
      <w:r w:rsidR="00EE36C7">
        <w:rPr>
          <w:rFonts w:ascii="Arial" w:hAnsi="Arial" w:cs="Arial"/>
          <w:b/>
          <w:bCs/>
          <w:sz w:val="24"/>
        </w:rPr>
        <w:t>Huawei, HiSilicon</w:t>
      </w:r>
    </w:p>
    <w:p w14:paraId="0FA3EF00" w14:textId="5D8BB5D6" w:rsidR="00A209D6" w:rsidRPr="00212C18" w:rsidRDefault="00A209D6" w:rsidP="00A209D6">
      <w:pPr>
        <w:ind w:left="1985" w:hanging="1985"/>
        <w:rPr>
          <w:rFonts w:ascii="Arial" w:hAnsi="Arial" w:cs="Arial"/>
          <w:b/>
          <w:bCs/>
          <w:sz w:val="24"/>
        </w:rPr>
      </w:pPr>
      <w:r w:rsidRPr="00212C18">
        <w:rPr>
          <w:rFonts w:ascii="Arial" w:hAnsi="Arial" w:cs="Arial"/>
          <w:b/>
          <w:bCs/>
          <w:sz w:val="24"/>
        </w:rPr>
        <w:t>Title:</w:t>
      </w:r>
      <w:r w:rsidRPr="00212C18">
        <w:rPr>
          <w:rFonts w:ascii="Arial" w:hAnsi="Arial" w:cs="Arial"/>
          <w:b/>
          <w:bCs/>
          <w:sz w:val="24"/>
        </w:rPr>
        <w:tab/>
      </w:r>
      <w:r w:rsidR="00221550">
        <w:rPr>
          <w:rFonts w:ascii="Arial" w:hAnsi="Arial" w:cs="Arial"/>
          <w:b/>
          <w:bCs/>
          <w:sz w:val="24"/>
        </w:rPr>
        <w:t>RAN visible QoE</w:t>
      </w:r>
      <w:r w:rsidR="00280493">
        <w:rPr>
          <w:rFonts w:ascii="Arial" w:hAnsi="Arial" w:cs="Arial"/>
          <w:b/>
          <w:bCs/>
          <w:sz w:val="24"/>
        </w:rPr>
        <w:t xml:space="preserve"> during mobility</w:t>
      </w:r>
    </w:p>
    <w:p w14:paraId="1F147C23" w14:textId="5E6EA136" w:rsidR="00A209D6" w:rsidRPr="00212C18" w:rsidRDefault="00A209D6" w:rsidP="00A209D6">
      <w:pPr>
        <w:ind w:left="1985" w:hanging="1985"/>
        <w:rPr>
          <w:rFonts w:ascii="Arial" w:hAnsi="Arial" w:cs="Arial"/>
          <w:b/>
          <w:bCs/>
          <w:sz w:val="24"/>
        </w:rPr>
      </w:pPr>
      <w:r w:rsidRPr="00212C18">
        <w:rPr>
          <w:rFonts w:ascii="Arial" w:hAnsi="Arial" w:cs="Arial"/>
          <w:b/>
          <w:bCs/>
          <w:sz w:val="24"/>
        </w:rPr>
        <w:t>WID/SID:</w:t>
      </w:r>
      <w:r w:rsidRPr="00212C18">
        <w:rPr>
          <w:rFonts w:ascii="Arial" w:hAnsi="Arial" w:cs="Arial"/>
          <w:b/>
          <w:bCs/>
          <w:sz w:val="24"/>
        </w:rPr>
        <w:tab/>
        <w:t>NR_</w:t>
      </w:r>
      <w:r w:rsidR="00EE36C7">
        <w:rPr>
          <w:rFonts w:ascii="Arial" w:hAnsi="Arial" w:cs="Arial"/>
          <w:b/>
          <w:bCs/>
          <w:sz w:val="24"/>
        </w:rPr>
        <w:t>QoE-Core</w:t>
      </w:r>
      <w:r w:rsidRPr="00212C18">
        <w:rPr>
          <w:rFonts w:ascii="Arial" w:hAnsi="Arial" w:cs="Arial"/>
          <w:b/>
          <w:bCs/>
          <w:sz w:val="24"/>
        </w:rPr>
        <w:t xml:space="preserve"> </w:t>
      </w:r>
      <w:r w:rsidR="00EE36C7">
        <w:rPr>
          <w:rFonts w:ascii="Arial" w:hAnsi="Arial" w:cs="Arial"/>
          <w:b/>
          <w:bCs/>
          <w:sz w:val="24"/>
        </w:rPr>
        <w:t>- Release 17</w:t>
      </w:r>
    </w:p>
    <w:p w14:paraId="6FEB19D6" w14:textId="77777777" w:rsidR="00A209D6" w:rsidRDefault="00A209D6" w:rsidP="00A209D6">
      <w:pPr>
        <w:tabs>
          <w:tab w:val="left" w:pos="1985"/>
        </w:tabs>
        <w:rPr>
          <w:rFonts w:ascii="Arial" w:hAnsi="Arial" w:cs="Arial"/>
          <w:b/>
          <w:bCs/>
          <w:sz w:val="24"/>
        </w:rPr>
      </w:pPr>
      <w:r w:rsidRPr="00212C18">
        <w:rPr>
          <w:rFonts w:ascii="Arial" w:hAnsi="Arial" w:cs="Arial"/>
          <w:b/>
          <w:bCs/>
          <w:sz w:val="24"/>
        </w:rPr>
        <w:t>Document for:</w:t>
      </w:r>
      <w:r w:rsidRPr="00212C18">
        <w:rPr>
          <w:rFonts w:ascii="Arial" w:hAnsi="Arial" w:cs="Arial"/>
          <w:b/>
          <w:bCs/>
          <w:sz w:val="24"/>
        </w:rPr>
        <w:tab/>
        <w:t>Discussion and Decision</w:t>
      </w:r>
    </w:p>
    <w:p w14:paraId="728804E1" w14:textId="77777777" w:rsidR="005C405D" w:rsidRPr="00212C18" w:rsidRDefault="005C405D" w:rsidP="00A209D6">
      <w:pPr>
        <w:tabs>
          <w:tab w:val="left" w:pos="1985"/>
        </w:tabs>
        <w:rPr>
          <w:rFonts w:ascii="Arial" w:hAnsi="Arial" w:cs="Arial"/>
          <w:b/>
          <w:bCs/>
          <w:sz w:val="24"/>
        </w:rPr>
      </w:pPr>
    </w:p>
    <w:p w14:paraId="294B1FC1" w14:textId="77777777" w:rsidR="00A209D6" w:rsidRPr="00212C18" w:rsidRDefault="00A209D6" w:rsidP="00A209D6">
      <w:pPr>
        <w:pStyle w:val="Heading1"/>
      </w:pPr>
      <w:r w:rsidRPr="00212C18">
        <w:t>1</w:t>
      </w:r>
      <w:r w:rsidRPr="00212C18">
        <w:tab/>
        <w:t>Introduction</w:t>
      </w:r>
    </w:p>
    <w:p w14:paraId="487D5E8C" w14:textId="77777777" w:rsidR="0035104C" w:rsidRDefault="0035104C" w:rsidP="00555E0E">
      <w:pPr>
        <w:rPr>
          <w:lang w:val="en-US"/>
        </w:rPr>
      </w:pPr>
      <w:r>
        <w:rPr>
          <w:lang w:val="en-US" w:eastAsia="zh-CN"/>
        </w:rPr>
        <w:t>In the last meetings, RAN2 made</w:t>
      </w:r>
      <w:r w:rsidR="00555E0E">
        <w:rPr>
          <w:lang w:val="en-US" w:eastAsia="zh-CN"/>
        </w:rPr>
        <w:t xml:space="preserve"> some agreements on the handling of legacy QoE measurement during handover. Also</w:t>
      </w:r>
      <w:r>
        <w:rPr>
          <w:lang w:val="en-US" w:eastAsia="zh-CN"/>
        </w:rPr>
        <w:t>,</w:t>
      </w:r>
      <w:r w:rsidR="00555E0E">
        <w:rPr>
          <w:lang w:val="en-US" w:eastAsia="zh-CN"/>
        </w:rPr>
        <w:t xml:space="preserve"> RAN3 has agreed to support the RAN visible QoE. In this contribution, we will discuss w</w:t>
      </w:r>
      <w:r w:rsidR="00555E0E" w:rsidRPr="002E49F0">
        <w:rPr>
          <w:lang w:val="en-US"/>
        </w:rPr>
        <w:t>hether solutions of legacy QoE mobility could be applied to RAN visible QoE and the specific aspects applied on</w:t>
      </w:r>
      <w:r>
        <w:rPr>
          <w:lang w:val="en-US"/>
        </w:rPr>
        <w:t>ly for RAN visible QoE mobility, as per the following open issue:</w:t>
      </w:r>
    </w:p>
    <w:p w14:paraId="2FB0203E" w14:textId="1B0CCCB6" w:rsidR="00587DA8" w:rsidRPr="00587DA8" w:rsidRDefault="0035104C" w:rsidP="0035104C">
      <w:pPr>
        <w:pStyle w:val="Comments"/>
        <w:rPr>
          <w:lang w:val="en-US"/>
        </w:rPr>
      </w:pPr>
      <w:r>
        <w:rPr>
          <w:lang w:val="en-US"/>
        </w:rPr>
        <w:t>- Whether solutions of legacy QoE mobility could be applied to RAN visible QoE and the specific aspects applied only for RAN visible QoE mobility.</w:t>
      </w:r>
      <w:r w:rsidR="00555E0E">
        <w:rPr>
          <w:lang w:val="en-US" w:eastAsia="zh-CN"/>
        </w:rPr>
        <w:t xml:space="preserve"> </w:t>
      </w:r>
    </w:p>
    <w:p w14:paraId="2BBFF540" w14:textId="77CDBC21" w:rsidR="00A209D6" w:rsidRPr="00212C18" w:rsidRDefault="0048649E" w:rsidP="00A209D6">
      <w:pPr>
        <w:pStyle w:val="Heading1"/>
      </w:pPr>
      <w:r>
        <w:t>2</w:t>
      </w:r>
      <w:r w:rsidR="000B6676">
        <w:tab/>
        <w:t>Discussion</w:t>
      </w:r>
    </w:p>
    <w:p w14:paraId="22C128E9" w14:textId="53614F51" w:rsidR="00790502" w:rsidRDefault="00790502" w:rsidP="00790502">
      <w:pPr>
        <w:pStyle w:val="Heading2"/>
      </w:pPr>
      <w:r>
        <w:t>2.1</w:t>
      </w:r>
      <w:r>
        <w:tab/>
      </w:r>
      <w:r w:rsidR="00F10287">
        <w:t xml:space="preserve">Latest progresses in RAN2 </w:t>
      </w:r>
    </w:p>
    <w:tbl>
      <w:tblPr>
        <w:tblStyle w:val="TableGrid"/>
        <w:tblW w:w="0" w:type="auto"/>
        <w:tblLook w:val="04A0" w:firstRow="1" w:lastRow="0" w:firstColumn="1" w:lastColumn="0" w:noHBand="0" w:noVBand="1"/>
      </w:tblPr>
      <w:tblGrid>
        <w:gridCol w:w="9631"/>
      </w:tblGrid>
      <w:tr w:rsidR="005A1299" w14:paraId="00D53189" w14:textId="77777777" w:rsidTr="005A1299">
        <w:tc>
          <w:tcPr>
            <w:tcW w:w="9631" w:type="dxa"/>
          </w:tcPr>
          <w:p w14:paraId="0DDA0B78" w14:textId="7965B1B0" w:rsidR="005A1299" w:rsidRPr="005A1299" w:rsidRDefault="005A1299" w:rsidP="005A1299">
            <w:pPr>
              <w:pStyle w:val="Doc-text2"/>
              <w:ind w:left="0" w:firstLine="0"/>
              <w:rPr>
                <w:rFonts w:eastAsia="宋体"/>
                <w:lang w:eastAsia="zh-CN"/>
              </w:rPr>
            </w:pPr>
            <w:r>
              <w:rPr>
                <w:rFonts w:eastAsia="宋体" w:hint="eastAsia"/>
                <w:lang w:eastAsia="zh-CN"/>
              </w:rPr>
              <w:t>R</w:t>
            </w:r>
            <w:r>
              <w:rPr>
                <w:rFonts w:eastAsia="宋体"/>
                <w:lang w:eastAsia="zh-CN"/>
              </w:rPr>
              <w:t>AN2#115</w:t>
            </w:r>
            <w:r w:rsidR="00051C92">
              <w:rPr>
                <w:rFonts w:eastAsia="宋体"/>
                <w:lang w:eastAsia="zh-CN"/>
              </w:rPr>
              <w:t xml:space="preserve"> agreements on legacy QoE measurement</w:t>
            </w:r>
            <w:r w:rsidR="008A0B63">
              <w:rPr>
                <w:rFonts w:eastAsia="宋体"/>
                <w:lang w:eastAsia="zh-CN"/>
              </w:rPr>
              <w:t xml:space="preserve"> during handover</w:t>
            </w:r>
            <w:r w:rsidR="00051C92">
              <w:rPr>
                <w:rFonts w:eastAsia="宋体"/>
                <w:lang w:eastAsia="zh-CN"/>
              </w:rPr>
              <w:t xml:space="preserve"> </w:t>
            </w:r>
          </w:p>
          <w:p w14:paraId="00F6C501" w14:textId="77777777" w:rsidR="005A1299" w:rsidRDefault="005A1299" w:rsidP="005A1299">
            <w:pPr>
              <w:pStyle w:val="Agreement"/>
            </w:pPr>
            <w:r w:rsidRPr="00BD3D6D">
              <w:t>RAN2 assumes that all QoE mobility related agreements made by RAN2 are applicable at least to signalling based QoE. Whether the same applies to management-based QoE is pending further input from SA5 and RAN3.</w:t>
            </w:r>
          </w:p>
          <w:p w14:paraId="15F05E24" w14:textId="77777777" w:rsidR="005A1299" w:rsidRPr="00BD3D6D" w:rsidRDefault="005A1299" w:rsidP="005A1299">
            <w:pPr>
              <w:pStyle w:val="Agreement"/>
            </w:pPr>
            <w:r w:rsidRPr="00BD3D6D">
              <w:t>Area scope parameter is not introduced in RRC procedures supporting QoE.</w:t>
            </w:r>
          </w:p>
          <w:p w14:paraId="415851B3" w14:textId="77777777" w:rsidR="005A1299" w:rsidRDefault="005A1299" w:rsidP="005A1299">
            <w:pPr>
              <w:pStyle w:val="Agreement"/>
            </w:pPr>
            <w:r w:rsidRPr="008A0B63">
              <w:rPr>
                <w:shd w:val="clear" w:color="auto" w:fill="FFE599" w:themeFill="accent4" w:themeFillTint="66"/>
              </w:rPr>
              <w:t xml:space="preserve">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w:t>
            </w:r>
            <w:r w:rsidRPr="00F9403B">
              <w:t>FFS how the indication looks like, e.g. granularity per QoE configuration or common for all QoE configurations</w:t>
            </w:r>
            <w:r w:rsidRPr="00BD3D6D">
              <w:t>.</w:t>
            </w:r>
          </w:p>
          <w:p w14:paraId="744319B7" w14:textId="77777777" w:rsidR="005A1299" w:rsidRDefault="005A1299" w:rsidP="005A1299">
            <w:pPr>
              <w:pStyle w:val="Agreement"/>
            </w:pPr>
            <w:r w:rsidRPr="008A0B63">
              <w:rPr>
                <w:shd w:val="clear" w:color="auto" w:fill="FFE599" w:themeFill="accent4" w:themeFillTint="66"/>
              </w:rPr>
              <w:t xml:space="preserve">During the handover to target gNB which supports QoE, the target gNB decides which QoE configurations to keep and which to release during a handover, e.g. based on QoE configuration information received from the source gNB in Xn/Ng signalling (exact information is up to RAN3) </w:t>
            </w:r>
            <w:r w:rsidRPr="008A0B63">
              <w:rPr>
                <w:shd w:val="clear" w:color="auto" w:fill="FFE599" w:themeFill="accent4" w:themeFillTint="66"/>
                <w:lang w:val="en-US"/>
              </w:rPr>
              <w:t>including the R</w:t>
            </w:r>
            <w:r w:rsidRPr="008A0B63">
              <w:rPr>
                <w:shd w:val="clear" w:color="auto" w:fill="FFE599" w:themeFill="accent4" w:themeFillTint="66"/>
              </w:rPr>
              <w:t xml:space="preserve">RC </w:t>
            </w:r>
            <w:r w:rsidRPr="008A0B63">
              <w:rPr>
                <w:shd w:val="clear" w:color="auto" w:fill="FFE599" w:themeFill="accent4" w:themeFillTint="66"/>
                <w:lang w:val="en-US"/>
              </w:rPr>
              <w:t>container</w:t>
            </w:r>
            <w:r>
              <w:t>.</w:t>
            </w:r>
          </w:p>
          <w:p w14:paraId="4D3E6B94" w14:textId="77777777" w:rsidR="005A1299" w:rsidRPr="00426D14" w:rsidRDefault="005A1299" w:rsidP="005A1299">
            <w:pPr>
              <w:pStyle w:val="Agreement"/>
            </w:pPr>
            <w:r>
              <w:t>The UE discards the reports received from application layer in case it has no associated QoE configuration configured.</w:t>
            </w:r>
          </w:p>
          <w:p w14:paraId="6EB1EE65" w14:textId="77777777" w:rsidR="005A1299" w:rsidRDefault="005A1299" w:rsidP="005A1299">
            <w:pPr>
              <w:pStyle w:val="Agreement"/>
            </w:pPr>
            <w:r w:rsidRPr="00BD3D6D">
              <w:t>FFS whether the gNB needs to know the QoE configurations for which there are ongoing QoE sessions</w:t>
            </w:r>
            <w:r>
              <w:t>,</w:t>
            </w:r>
            <w:r w:rsidRPr="00BD3D6D">
              <w:t xml:space="preserve"> e.g. to enable QoE configuration handling upon mobility (pending SA4 reply on the ongoing QoE measurement session continuity requirement).</w:t>
            </w:r>
          </w:p>
          <w:p w14:paraId="3B138C88" w14:textId="77777777" w:rsidR="005A1299" w:rsidRPr="00B54360" w:rsidRDefault="005A1299" w:rsidP="005A1299">
            <w:pPr>
              <w:pStyle w:val="Agreement"/>
            </w:pPr>
            <w:r w:rsidRPr="008A0B63">
              <w:rPr>
                <w:shd w:val="clear" w:color="auto" w:fill="FFE599" w:themeFill="accent4" w:themeFillTint="66"/>
                <w:lang w:eastAsia="ko-KR"/>
              </w:rPr>
              <w:t>In case the UE resumes the connection in a gNB not supporting QoE, the UE should release all QoE measurement configurations</w:t>
            </w:r>
            <w:r>
              <w:rPr>
                <w:lang w:eastAsia="ko-KR"/>
              </w:rPr>
              <w:t>.</w:t>
            </w:r>
          </w:p>
          <w:p w14:paraId="784E6A6F" w14:textId="77777777" w:rsidR="008A0B63" w:rsidRDefault="008A0B63" w:rsidP="008A0B63">
            <w:pPr>
              <w:pStyle w:val="Doc-text2"/>
              <w:ind w:left="0" w:firstLine="0"/>
              <w:rPr>
                <w:rFonts w:eastAsia="宋体"/>
                <w:lang w:eastAsia="zh-CN"/>
              </w:rPr>
            </w:pPr>
          </w:p>
          <w:p w14:paraId="6DD1988E" w14:textId="6247D1F4" w:rsidR="008A0B63" w:rsidRPr="005A1299" w:rsidRDefault="008A0B63" w:rsidP="008A0B63">
            <w:pPr>
              <w:pStyle w:val="Doc-text2"/>
              <w:ind w:left="0" w:firstLine="0"/>
              <w:rPr>
                <w:rFonts w:eastAsia="宋体"/>
                <w:lang w:eastAsia="zh-CN"/>
              </w:rPr>
            </w:pPr>
            <w:r>
              <w:rPr>
                <w:rFonts w:eastAsia="宋体" w:hint="eastAsia"/>
                <w:lang w:eastAsia="zh-CN"/>
              </w:rPr>
              <w:t>R</w:t>
            </w:r>
            <w:r>
              <w:rPr>
                <w:rFonts w:eastAsia="宋体"/>
                <w:lang w:eastAsia="zh-CN"/>
              </w:rPr>
              <w:t xml:space="preserve">AN2#116bis agreements on legacy QoE measurement during handover </w:t>
            </w:r>
          </w:p>
          <w:p w14:paraId="008B1DEE" w14:textId="77777777" w:rsidR="005A1299" w:rsidRPr="008A0B63" w:rsidRDefault="005A1299" w:rsidP="005F64BC"/>
          <w:p w14:paraId="4F1D3765" w14:textId="77777777" w:rsidR="008A0B63" w:rsidRDefault="008A0B63" w:rsidP="008A0B63">
            <w:pPr>
              <w:pStyle w:val="Agreement"/>
            </w:pPr>
            <w:r w:rsidRPr="008A0B63">
              <w:rPr>
                <w:shd w:val="clear" w:color="auto" w:fill="FFE599" w:themeFill="accent4" w:themeFillTint="66"/>
              </w:rPr>
              <w:t>Upper layers are informed of the release of the application layer measurements at RRCSetup (can be done if RRC setup is provided as a response to RRCresumerequest or RRC reestablishmentrequest)</w:t>
            </w:r>
            <w:r>
              <w:t>.</w:t>
            </w:r>
          </w:p>
          <w:p w14:paraId="2EE2FA3B" w14:textId="77777777" w:rsidR="008A0B63" w:rsidRDefault="008A0B63" w:rsidP="008A0B63">
            <w:pPr>
              <w:pStyle w:val="Agreement"/>
            </w:pPr>
            <w:r w:rsidRPr="008A0B63">
              <w:rPr>
                <w:shd w:val="clear" w:color="auto" w:fill="FFE599" w:themeFill="accent4" w:themeFillTint="66"/>
              </w:rPr>
              <w:t>At Resume with delta configuration the network indicates possible differences to the QoE configurations</w:t>
            </w:r>
            <w:r>
              <w:t>.</w:t>
            </w:r>
          </w:p>
          <w:p w14:paraId="54A6696C" w14:textId="77777777" w:rsidR="008A0B63" w:rsidRDefault="008A0B63" w:rsidP="008A0B63">
            <w:pPr>
              <w:pStyle w:val="Agreement"/>
            </w:pPr>
            <w:r w:rsidRPr="008A0B63">
              <w:rPr>
                <w:shd w:val="clear" w:color="auto" w:fill="FFE599" w:themeFill="accent4" w:themeFillTint="66"/>
              </w:rPr>
              <w:t>At mobility with fullConfig, upper layers are informed of the release of the application layer measurements if no measConfigAppLayerId is indicated by the network</w:t>
            </w:r>
            <w:r>
              <w:t>.</w:t>
            </w:r>
          </w:p>
          <w:p w14:paraId="22FC9642" w14:textId="77777777" w:rsidR="008A0B63" w:rsidRPr="008A0B63" w:rsidRDefault="008A0B63" w:rsidP="005F64BC"/>
          <w:p w14:paraId="300E76E5" w14:textId="0F9639C5" w:rsidR="005A1299" w:rsidRDefault="005A1299" w:rsidP="005F64BC">
            <w:pPr>
              <w:rPr>
                <w:lang w:eastAsia="zh-CN"/>
              </w:rPr>
            </w:pPr>
            <w:r>
              <w:rPr>
                <w:rFonts w:hint="eastAsia"/>
                <w:lang w:eastAsia="zh-CN"/>
              </w:rPr>
              <w:t>RAN2#11</w:t>
            </w:r>
            <w:r w:rsidR="00051C92">
              <w:rPr>
                <w:lang w:eastAsia="zh-CN"/>
              </w:rPr>
              <w:t>6 agreements on RAN Visible QoE</w:t>
            </w:r>
          </w:p>
          <w:p w14:paraId="1336078E" w14:textId="77777777" w:rsidR="005A1299" w:rsidRPr="0042656D" w:rsidRDefault="005A1299" w:rsidP="005A1299">
            <w:pPr>
              <w:pStyle w:val="Agreement"/>
              <w:ind w:left="1620"/>
            </w:pPr>
            <w:r w:rsidRPr="005C5D79">
              <w:t xml:space="preserve">RAN2 </w:t>
            </w:r>
            <w:r>
              <w:t xml:space="preserve">assumes that RAN2 </w:t>
            </w:r>
            <w:r w:rsidRPr="005C5D79">
              <w:t>is responsible to define the procedure to support RVQOE configuration and reporting, and leave the definition of RAN QoE metrics and what should be included in RVQOE configuration and report to other WGs, e.g. RAN3</w:t>
            </w:r>
            <w:r>
              <w:t>, SA4.</w:t>
            </w:r>
          </w:p>
          <w:p w14:paraId="1ACC9D71" w14:textId="77777777" w:rsidR="005A1299" w:rsidRPr="0042656D" w:rsidRDefault="005A1299" w:rsidP="005A1299">
            <w:pPr>
              <w:pStyle w:val="Agreement"/>
              <w:ind w:left="1620"/>
            </w:pPr>
            <w:r w:rsidRPr="0042656D">
              <w:rPr>
                <w:lang w:val="en-US"/>
              </w:rPr>
              <w:t xml:space="preserve">RAN2 confirms the following </w:t>
            </w:r>
            <w:r>
              <w:rPr>
                <w:lang w:val="en-US"/>
              </w:rPr>
              <w:t>is</w:t>
            </w:r>
            <w:r w:rsidRPr="0042656D">
              <w:rPr>
                <w:lang w:val="en-US"/>
              </w:rPr>
              <w:t xml:space="preserve"> feasible from RAN2 point of view.</w:t>
            </w:r>
          </w:p>
          <w:p w14:paraId="36C0BD23" w14:textId="77777777" w:rsidR="005A1299" w:rsidRPr="0042656D" w:rsidRDefault="005A1299" w:rsidP="005A1299">
            <w:pPr>
              <w:pStyle w:val="Agreement"/>
              <w:numPr>
                <w:ilvl w:val="0"/>
                <w:numId w:val="0"/>
              </w:numPr>
              <w:ind w:left="1620"/>
              <w:rPr>
                <w:lang w:eastAsia="en-US"/>
              </w:rPr>
            </w:pPr>
            <w:r w:rsidRPr="00AE4FEF">
              <w:rPr>
                <w:lang w:eastAsia="en-US"/>
              </w:rPr>
              <w:t>It is feasible to configure RVQOE using explicit RRC IEs</w:t>
            </w:r>
          </w:p>
          <w:p w14:paraId="1B24AD53" w14:textId="77777777" w:rsidR="005A1299" w:rsidRPr="0042656D" w:rsidRDefault="005A1299" w:rsidP="005A1299">
            <w:pPr>
              <w:pStyle w:val="Agreement"/>
              <w:numPr>
                <w:ilvl w:val="0"/>
                <w:numId w:val="0"/>
              </w:numPr>
              <w:ind w:left="1620"/>
              <w:rPr>
                <w:lang w:eastAsia="en-US"/>
              </w:rPr>
            </w:pPr>
            <w:r w:rsidRPr="0042656D">
              <w:rPr>
                <w:lang w:eastAsia="en-US"/>
              </w:rPr>
              <w:t>Multiple simultaneous QoE measurements can be supported for RVQOE.  Each RVQOE measurement configuration is identified by the MeasConfigAppLayerId (or change to another generic term) corresponding to the regular QoE configuration.</w:t>
            </w:r>
          </w:p>
          <w:p w14:paraId="691A192C" w14:textId="77777777" w:rsidR="005A1299" w:rsidRPr="0042656D" w:rsidRDefault="005A1299" w:rsidP="005A1299">
            <w:pPr>
              <w:pStyle w:val="Agreement"/>
              <w:numPr>
                <w:ilvl w:val="0"/>
                <w:numId w:val="0"/>
              </w:numPr>
              <w:ind w:left="1620"/>
              <w:rPr>
                <w:lang w:eastAsia="en-US"/>
              </w:rPr>
            </w:pPr>
            <w:r w:rsidRPr="0042656D">
              <w:rPr>
                <w:lang w:eastAsia="en-US"/>
              </w:rPr>
              <w:t>UE RRC layer forwards the received RVQOE configura</w:t>
            </w:r>
            <w:r>
              <w:rPr>
                <w:lang w:eastAsia="en-US"/>
              </w:rPr>
              <w:t>tion to the upper (application) layer, indicating the service type.</w:t>
            </w:r>
          </w:p>
          <w:p w14:paraId="2944ACE4" w14:textId="77777777" w:rsidR="005A1299" w:rsidRDefault="005A1299" w:rsidP="005A1299">
            <w:pPr>
              <w:pStyle w:val="Agreement"/>
              <w:numPr>
                <w:ilvl w:val="0"/>
                <w:numId w:val="0"/>
              </w:numPr>
              <w:ind w:left="1620"/>
              <w:rPr>
                <w:lang w:eastAsia="en-US"/>
              </w:rPr>
            </w:pPr>
            <w:r w:rsidRPr="0042656D">
              <w:rPr>
                <w:lang w:eastAsia="en-US"/>
              </w:rPr>
              <w:t>RAN configures the required RVQOE metrics in the RVQOE configuration for UE to report.</w:t>
            </w:r>
          </w:p>
          <w:p w14:paraId="35F3F8FF" w14:textId="77777777" w:rsidR="005A1299" w:rsidRPr="005A1299" w:rsidRDefault="005A1299" w:rsidP="005F64BC">
            <w:pPr>
              <w:rPr>
                <w:lang w:eastAsia="zh-CN"/>
              </w:rPr>
            </w:pPr>
          </w:p>
          <w:p w14:paraId="34277270" w14:textId="692AF5F1" w:rsidR="005A1299" w:rsidRPr="005A1299" w:rsidRDefault="005A1299" w:rsidP="005A1299">
            <w:pPr>
              <w:pStyle w:val="Doc-text2"/>
              <w:ind w:left="0" w:firstLine="0"/>
              <w:rPr>
                <w:rFonts w:eastAsia="宋体"/>
                <w:lang w:eastAsia="zh-CN"/>
              </w:rPr>
            </w:pPr>
            <w:r>
              <w:rPr>
                <w:rFonts w:eastAsia="宋体" w:hint="eastAsia"/>
                <w:lang w:eastAsia="zh-CN"/>
              </w:rPr>
              <w:t>R</w:t>
            </w:r>
            <w:r>
              <w:rPr>
                <w:rFonts w:eastAsia="宋体"/>
                <w:lang w:eastAsia="zh-CN"/>
              </w:rPr>
              <w:t>AN2#116bis</w:t>
            </w:r>
            <w:r w:rsidR="00051C92">
              <w:rPr>
                <w:rFonts w:eastAsia="宋体"/>
                <w:lang w:eastAsia="zh-CN"/>
              </w:rPr>
              <w:t xml:space="preserve"> agreements on </w:t>
            </w:r>
            <w:r w:rsidR="00051C92">
              <w:rPr>
                <w:lang w:eastAsia="zh-CN"/>
              </w:rPr>
              <w:t>RAN Visible QoE</w:t>
            </w:r>
          </w:p>
          <w:p w14:paraId="7407E775" w14:textId="77777777" w:rsidR="005A1299" w:rsidRDefault="005A1299" w:rsidP="005F64BC"/>
          <w:p w14:paraId="6E4775F4" w14:textId="77777777" w:rsidR="005A1299" w:rsidRDefault="005A1299" w:rsidP="005A1299">
            <w:pPr>
              <w:pStyle w:val="Agreement"/>
            </w:pPr>
            <w:r>
              <w:t xml:space="preserve">[029] </w:t>
            </w:r>
            <w:r w:rsidRPr="00831163">
              <w:t>RVQoE configuration can share the same measConfigAppLayerId and service type RRC IEs with legacy QoE configuration</w:t>
            </w:r>
            <w:r>
              <w:t>.</w:t>
            </w:r>
          </w:p>
          <w:p w14:paraId="46850029" w14:textId="77777777" w:rsidR="005A1299" w:rsidRPr="00CD1032" w:rsidRDefault="005A1299" w:rsidP="005A1299">
            <w:pPr>
              <w:pStyle w:val="Agreement"/>
            </w:pPr>
            <w:r>
              <w:t>[029] M</w:t>
            </w:r>
            <w:r w:rsidRPr="00CD1032">
              <w:t>odification</w:t>
            </w:r>
            <w:r>
              <w:t xml:space="preserve"> of</w:t>
            </w:r>
            <w:r w:rsidRPr="00CD1032">
              <w:t xml:space="preserve"> RVQoE</w:t>
            </w:r>
            <w:r>
              <w:t xml:space="preserve"> configuration </w:t>
            </w:r>
            <w:r w:rsidRPr="00CD1032">
              <w:t>can be supported from RRC layer point of view</w:t>
            </w:r>
            <w:r>
              <w:t>,</w:t>
            </w:r>
            <w:r w:rsidRPr="00CD1032">
              <w:t xml:space="preserve"> </w:t>
            </w:r>
            <w:r>
              <w:t>it can be revisited if any problem according to further stage 3.</w:t>
            </w:r>
          </w:p>
          <w:p w14:paraId="7763FBBC" w14:textId="77777777" w:rsidR="005A1299" w:rsidRDefault="005A1299" w:rsidP="005A1299">
            <w:pPr>
              <w:pStyle w:val="Agreement"/>
            </w:pPr>
            <w:r>
              <w:t xml:space="preserve">[029] RAN2 confirm it is feasible that </w:t>
            </w:r>
            <w:r w:rsidRPr="00BD2747">
              <w:t>NG-RAN can release a list of RAN visible QoE configurations while not releasing the corresponding legacy QoE configuration</w:t>
            </w:r>
            <w:r>
              <w:t xml:space="preserve"> and i</w:t>
            </w:r>
            <w:r w:rsidRPr="00BD2747">
              <w:t xml:space="preserve">f the </w:t>
            </w:r>
            <w:r>
              <w:t>corresponding</w:t>
            </w:r>
            <w:r w:rsidRPr="00BD2747">
              <w:t xml:space="preserve"> legacy QoE configuration</w:t>
            </w:r>
            <w:r>
              <w:t xml:space="preserve"> </w:t>
            </w:r>
            <w:r w:rsidRPr="00BD2747">
              <w:t>is released, the RAN visible QoE configuration is released as well</w:t>
            </w:r>
            <w:r>
              <w:t>.</w:t>
            </w:r>
          </w:p>
          <w:p w14:paraId="51BD4924" w14:textId="77777777" w:rsidR="005A1299" w:rsidRDefault="005A1299" w:rsidP="005A1299">
            <w:pPr>
              <w:pStyle w:val="Agreement"/>
            </w:pPr>
            <w:r>
              <w:t xml:space="preserve">[029] </w:t>
            </w:r>
            <w:r w:rsidRPr="00DB1FA6">
              <w:t xml:space="preserve">RVQoE measurements </w:t>
            </w:r>
            <w:r>
              <w:t>can</w:t>
            </w:r>
            <w:r w:rsidRPr="00DB1FA6">
              <w:t xml:space="preserve"> be included into </w:t>
            </w:r>
            <w:r w:rsidRPr="00F52339">
              <w:rPr>
                <w:i/>
                <w:iCs/>
              </w:rPr>
              <w:t>MeasurementReportAppLayer</w:t>
            </w:r>
            <w:r w:rsidRPr="00DB1FA6">
              <w:t xml:space="preserve"> message</w:t>
            </w:r>
            <w:r>
              <w:t>.</w:t>
            </w:r>
          </w:p>
          <w:p w14:paraId="65ABCF01" w14:textId="77777777" w:rsidR="005A1299" w:rsidRDefault="005A1299" w:rsidP="005A1299">
            <w:pPr>
              <w:pStyle w:val="Agreement"/>
            </w:pPr>
            <w:r>
              <w:t xml:space="preserve">[029] </w:t>
            </w:r>
            <w:r w:rsidRPr="00AA0547">
              <w:t>MeasConfigAppLayerId can be used to identify both of associated legacy QoE report and RVQoE report</w:t>
            </w:r>
            <w:r>
              <w:t>, and it is irrespective whether RVQoE should be reported independently or together with legacy QoE.</w:t>
            </w:r>
          </w:p>
          <w:p w14:paraId="0B314CE8" w14:textId="77777777" w:rsidR="005A1299" w:rsidRDefault="005A1299" w:rsidP="005A1299">
            <w:pPr>
              <w:pStyle w:val="Agreement"/>
            </w:pPr>
            <w:r>
              <w:t>[029] M</w:t>
            </w:r>
            <w:r w:rsidRPr="005858B5">
              <w:t xml:space="preserve">ultiple RVQoE reports can be included in one </w:t>
            </w:r>
            <w:r w:rsidRPr="00F52339">
              <w:rPr>
                <w:i/>
                <w:iCs/>
              </w:rPr>
              <w:t>MeasurementReportAppLayer</w:t>
            </w:r>
            <w:r w:rsidRPr="005858B5">
              <w:t xml:space="preserve"> message</w:t>
            </w:r>
            <w:r>
              <w:t xml:space="preserve">, and can be revisited according to legact QoE reporting progress. </w:t>
            </w:r>
          </w:p>
          <w:p w14:paraId="32E7C74A" w14:textId="77777777" w:rsidR="005A1299" w:rsidRPr="005A1299" w:rsidRDefault="005A1299" w:rsidP="005F64BC"/>
        </w:tc>
      </w:tr>
    </w:tbl>
    <w:p w14:paraId="125E85D0" w14:textId="77777777" w:rsidR="005A1299" w:rsidRDefault="005A1299" w:rsidP="005F64BC"/>
    <w:p w14:paraId="2053CF01" w14:textId="77777777" w:rsidR="00664504" w:rsidRDefault="00664504" w:rsidP="00CC4C9A">
      <w:pPr>
        <w:pStyle w:val="Caption"/>
        <w:rPr>
          <w:i w:val="0"/>
        </w:rPr>
      </w:pPr>
    </w:p>
    <w:p w14:paraId="37ECBE61" w14:textId="21DE0023" w:rsidR="000C5D16" w:rsidRDefault="000C5D16" w:rsidP="000C5D16">
      <w:pPr>
        <w:pStyle w:val="Heading2"/>
      </w:pPr>
      <w:r>
        <w:lastRenderedPageBreak/>
        <w:t>2.2</w:t>
      </w:r>
      <w:r>
        <w:tab/>
      </w:r>
      <w:r w:rsidR="00A07DAF">
        <w:t>Technical discussions on RAN visible QoE</w:t>
      </w:r>
      <w:r w:rsidR="008A0B63">
        <w:t xml:space="preserve"> during mobility </w:t>
      </w:r>
    </w:p>
    <w:p w14:paraId="4506177A" w14:textId="66739691" w:rsidR="008B48F2" w:rsidRDefault="008A0B63" w:rsidP="00A47A3B">
      <w:pPr>
        <w:rPr>
          <w:lang w:eastAsia="zh-CN"/>
        </w:rPr>
      </w:pPr>
      <w:r>
        <w:rPr>
          <w:rFonts w:hint="eastAsia"/>
          <w:lang w:eastAsia="zh-CN"/>
        </w:rPr>
        <w:t>F</w:t>
      </w:r>
      <w:r>
        <w:rPr>
          <w:lang w:eastAsia="zh-CN"/>
        </w:rPr>
        <w:t>irst we think RAN2 can analyse whether the agreements of legacy QoE mobility could be applied to RAN visible QoE.</w:t>
      </w:r>
    </w:p>
    <w:tbl>
      <w:tblPr>
        <w:tblStyle w:val="TableGrid"/>
        <w:tblW w:w="9634" w:type="dxa"/>
        <w:tblLook w:val="04A0" w:firstRow="1" w:lastRow="0" w:firstColumn="1" w:lastColumn="0" w:noHBand="0" w:noVBand="1"/>
      </w:tblPr>
      <w:tblGrid>
        <w:gridCol w:w="5371"/>
        <w:gridCol w:w="4263"/>
      </w:tblGrid>
      <w:tr w:rsidR="009B6A26" w14:paraId="1DDCC09D" w14:textId="77777777" w:rsidTr="009B6A26">
        <w:tc>
          <w:tcPr>
            <w:tcW w:w="5371" w:type="dxa"/>
          </w:tcPr>
          <w:p w14:paraId="39435356" w14:textId="4875B06A" w:rsidR="009B6A26" w:rsidRPr="002D0659" w:rsidRDefault="009B6A26" w:rsidP="002D0659">
            <w:pPr>
              <w:jc w:val="center"/>
              <w:rPr>
                <w:b/>
                <w:lang w:eastAsia="zh-CN"/>
              </w:rPr>
            </w:pPr>
            <w:r w:rsidRPr="002D0659">
              <w:rPr>
                <w:b/>
                <w:lang w:eastAsia="zh-CN"/>
              </w:rPr>
              <w:t>Agreements on legacy QoE measurement</w:t>
            </w:r>
          </w:p>
        </w:tc>
        <w:tc>
          <w:tcPr>
            <w:tcW w:w="4263" w:type="dxa"/>
          </w:tcPr>
          <w:p w14:paraId="66E0E547" w14:textId="2F593236" w:rsidR="009B6A26" w:rsidRPr="002D0659" w:rsidRDefault="009B6A26" w:rsidP="002D0659">
            <w:pPr>
              <w:jc w:val="center"/>
              <w:rPr>
                <w:b/>
                <w:lang w:eastAsia="zh-CN"/>
              </w:rPr>
            </w:pPr>
            <w:r w:rsidRPr="002D0659">
              <w:rPr>
                <w:rFonts w:hint="eastAsia"/>
                <w:b/>
                <w:lang w:eastAsia="zh-CN"/>
              </w:rPr>
              <w:t>A</w:t>
            </w:r>
            <w:r w:rsidRPr="002D0659">
              <w:rPr>
                <w:b/>
                <w:lang w:eastAsia="zh-CN"/>
              </w:rPr>
              <w:t>nalysis</w:t>
            </w:r>
            <w:r w:rsidR="002D0659">
              <w:rPr>
                <w:b/>
                <w:lang w:eastAsia="zh-CN"/>
              </w:rPr>
              <w:t xml:space="preserve"> on</w:t>
            </w:r>
            <w:r w:rsidRPr="002D0659">
              <w:rPr>
                <w:b/>
                <w:lang w:eastAsia="zh-CN"/>
              </w:rPr>
              <w:t xml:space="preserve"> whether the agreement can be used for RAN visible QoE</w:t>
            </w:r>
          </w:p>
        </w:tc>
      </w:tr>
      <w:tr w:rsidR="009B6A26" w14:paraId="5D4F60C4" w14:textId="77777777" w:rsidTr="009B6A26">
        <w:tc>
          <w:tcPr>
            <w:tcW w:w="5371" w:type="dxa"/>
          </w:tcPr>
          <w:p w14:paraId="38D61B41" w14:textId="791F1FA5" w:rsidR="009B6A26" w:rsidRDefault="009B6A26" w:rsidP="009B6A26">
            <w:pPr>
              <w:rPr>
                <w:lang w:eastAsia="zh-CN"/>
              </w:rPr>
            </w:pPr>
            <w:r w:rsidRPr="009B6A26">
              <w:rPr>
                <w:lang w:eastAsia="zh-CN"/>
              </w:rPr>
              <w:t xml:space="preserve">When the UE resumes the connection in a gNB supporting QoE, the target gNB should explicitly indicate which QoE measurement configurations should be kept by the UE during RRC resume procedure, e.g. in RRCResume message. The UE shall release all QoE measurement configurations not indicated by the gNB for restoration. </w:t>
            </w:r>
          </w:p>
        </w:tc>
        <w:tc>
          <w:tcPr>
            <w:tcW w:w="4263" w:type="dxa"/>
          </w:tcPr>
          <w:p w14:paraId="0C8F7666" w14:textId="4255AADB" w:rsidR="00E63E9D" w:rsidRDefault="00E63E9D" w:rsidP="00A47A3B">
            <w:pPr>
              <w:contextualSpacing/>
              <w:rPr>
                <w:lang w:eastAsia="zh-CN"/>
              </w:rPr>
            </w:pPr>
            <w:r>
              <w:rPr>
                <w:lang w:eastAsia="zh-CN"/>
              </w:rPr>
              <w:t>Different gNB may have different requirements on RAN visible QoE.</w:t>
            </w:r>
            <w:r w:rsidR="00F9403B">
              <w:rPr>
                <w:lang w:eastAsia="zh-CN"/>
              </w:rPr>
              <w:t xml:space="preserve"> Also RAN3 has the following agreement ”</w:t>
            </w:r>
            <w:r w:rsidR="00F9403B" w:rsidRPr="009B45E1">
              <w:rPr>
                <w:rFonts w:ascii="Calibri" w:hAnsi="Calibri" w:cs="Calibri"/>
                <w:b/>
                <w:color w:val="008000"/>
                <w:sz w:val="18"/>
              </w:rPr>
              <w:t xml:space="preserve"> Target node may generate new RAN visible QoE configuration and send to UE during handover or RRC resume procedure.</w:t>
            </w:r>
            <w:r w:rsidR="00F9403B">
              <w:rPr>
                <w:lang w:eastAsia="zh-CN"/>
              </w:rPr>
              <w:t>”</w:t>
            </w:r>
          </w:p>
          <w:p w14:paraId="08E06CC0" w14:textId="315E9731" w:rsidR="009B6A26" w:rsidRDefault="00F9403B" w:rsidP="00F9403B">
            <w:pPr>
              <w:rPr>
                <w:lang w:eastAsia="zh-CN"/>
              </w:rPr>
            </w:pPr>
            <w:r>
              <w:rPr>
                <w:lang w:eastAsia="zh-CN"/>
              </w:rPr>
              <w:t xml:space="preserve">Therefore </w:t>
            </w:r>
            <w:r w:rsidRPr="00F9403B">
              <w:rPr>
                <w:b/>
                <w:lang w:eastAsia="zh-CN"/>
              </w:rPr>
              <w:t>we think the agreement could be applied to RAN visible QoE</w:t>
            </w:r>
            <w:r>
              <w:rPr>
                <w:lang w:eastAsia="zh-CN"/>
              </w:rPr>
              <w:t>.</w:t>
            </w:r>
            <w:r w:rsidR="00E63E9D">
              <w:rPr>
                <w:lang w:eastAsia="zh-CN"/>
              </w:rPr>
              <w:t xml:space="preserve"> </w:t>
            </w:r>
          </w:p>
        </w:tc>
      </w:tr>
      <w:tr w:rsidR="009B6A26" w14:paraId="1FA6A0EF" w14:textId="77777777" w:rsidTr="009B6A26">
        <w:tc>
          <w:tcPr>
            <w:tcW w:w="5371" w:type="dxa"/>
          </w:tcPr>
          <w:p w14:paraId="431B1E76" w14:textId="4064F4E8" w:rsidR="009B6A26" w:rsidRDefault="009B6A26" w:rsidP="00A47A3B">
            <w:pPr>
              <w:rPr>
                <w:lang w:eastAsia="zh-CN"/>
              </w:rPr>
            </w:pPr>
            <w:r w:rsidRPr="009B6A26">
              <w:rPr>
                <w:lang w:eastAsia="zh-CN"/>
              </w:rPr>
              <w:t>During the handover to target gNB which supports QoE, the target gNB decides which QoE configurations to keep and which to release during a handover, e.g. based on QoE configuration information received from the source gNB in Xn/Ng signalling (exact information is up to RAN3) including the RRC container</w:t>
            </w:r>
          </w:p>
        </w:tc>
        <w:tc>
          <w:tcPr>
            <w:tcW w:w="4263" w:type="dxa"/>
          </w:tcPr>
          <w:p w14:paraId="026C7A66" w14:textId="0157C129" w:rsidR="009B6A26" w:rsidRDefault="00F9403B" w:rsidP="00A47A3B">
            <w:pPr>
              <w:rPr>
                <w:lang w:eastAsia="zh-CN"/>
              </w:rPr>
            </w:pPr>
            <w:r>
              <w:rPr>
                <w:lang w:eastAsia="zh-CN"/>
              </w:rPr>
              <w:t xml:space="preserve">Same to the above analysis, we think </w:t>
            </w:r>
            <w:r w:rsidRPr="00F9403B">
              <w:rPr>
                <w:b/>
                <w:lang w:eastAsia="zh-CN"/>
              </w:rPr>
              <w:t>the agreement could be applied to RAN visible QoE</w:t>
            </w:r>
            <w:r>
              <w:rPr>
                <w:lang w:eastAsia="zh-CN"/>
              </w:rPr>
              <w:t>.</w:t>
            </w:r>
          </w:p>
        </w:tc>
      </w:tr>
      <w:tr w:rsidR="009B6A26" w14:paraId="74ABFFDB" w14:textId="77777777" w:rsidTr="009B6A26">
        <w:tc>
          <w:tcPr>
            <w:tcW w:w="5371" w:type="dxa"/>
          </w:tcPr>
          <w:p w14:paraId="14D06947" w14:textId="074B6902" w:rsidR="009B6A26" w:rsidRPr="009B6A26" w:rsidRDefault="009B6A26" w:rsidP="00A47A3B">
            <w:pPr>
              <w:rPr>
                <w:lang w:eastAsia="zh-CN"/>
              </w:rPr>
            </w:pPr>
            <w:r w:rsidRPr="009B6A26">
              <w:rPr>
                <w:lang w:eastAsia="zh-CN"/>
              </w:rPr>
              <w:t>In case the UE resumes the connection in a gNB not supporting QoE, the UE should release all QoE measurement configurations</w:t>
            </w:r>
          </w:p>
        </w:tc>
        <w:tc>
          <w:tcPr>
            <w:tcW w:w="4263" w:type="dxa"/>
          </w:tcPr>
          <w:p w14:paraId="1DA907D9" w14:textId="77777777" w:rsidR="00A2562E" w:rsidRDefault="00F9403B" w:rsidP="00A2562E">
            <w:pPr>
              <w:rPr>
                <w:lang w:eastAsia="zh-CN"/>
              </w:rPr>
            </w:pPr>
            <w:r>
              <w:rPr>
                <w:rFonts w:hint="eastAsia"/>
                <w:lang w:eastAsia="zh-CN"/>
              </w:rPr>
              <w:t>R</w:t>
            </w:r>
            <w:r>
              <w:rPr>
                <w:lang w:eastAsia="zh-CN"/>
              </w:rPr>
              <w:t>AN2 has agreed that “</w:t>
            </w:r>
            <w:r>
              <w:t xml:space="preserve">it is feasible that </w:t>
            </w:r>
            <w:r w:rsidRPr="00BD2747">
              <w:t>NG-RAN can release a list of RAN visible QoE configurations while not releasing the corresponding legacy QoE configuration</w:t>
            </w:r>
            <w:r>
              <w:t xml:space="preserve"> and i</w:t>
            </w:r>
            <w:r w:rsidRPr="00BD2747">
              <w:t xml:space="preserve">f the </w:t>
            </w:r>
            <w:r>
              <w:t>corresponding</w:t>
            </w:r>
            <w:r w:rsidRPr="00BD2747">
              <w:t xml:space="preserve"> legacy QoE configuration</w:t>
            </w:r>
            <w:r>
              <w:t xml:space="preserve"> </w:t>
            </w:r>
            <w:r w:rsidRPr="00BD2747">
              <w:t>is released, the RAN visible QoE configuration is released as well</w:t>
            </w:r>
            <w:r>
              <w:t>.”</w:t>
            </w:r>
            <w:r w:rsidR="00A2562E">
              <w:t xml:space="preserve"> Therefore the RAN visible QoE should be released if the new Gnb does not support the QoE.</w:t>
            </w:r>
            <w:r w:rsidR="00A2562E">
              <w:rPr>
                <w:lang w:eastAsia="zh-CN"/>
              </w:rPr>
              <w:t xml:space="preserve"> </w:t>
            </w:r>
          </w:p>
          <w:p w14:paraId="65C9DBD6" w14:textId="0F934665" w:rsidR="00A2562E" w:rsidRDefault="00A2562E" w:rsidP="00A2562E">
            <w:pPr>
              <w:rPr>
                <w:lang w:eastAsia="zh-CN"/>
              </w:rPr>
            </w:pPr>
            <w:r>
              <w:rPr>
                <w:lang w:eastAsia="zh-CN"/>
              </w:rPr>
              <w:t xml:space="preserve">We think </w:t>
            </w:r>
            <w:r w:rsidRPr="00F9403B">
              <w:rPr>
                <w:b/>
                <w:lang w:eastAsia="zh-CN"/>
              </w:rPr>
              <w:t>the agreement could be applied to RAN visible QoE</w:t>
            </w:r>
            <w:r>
              <w:rPr>
                <w:lang w:eastAsia="zh-CN"/>
              </w:rPr>
              <w:t>.</w:t>
            </w:r>
          </w:p>
          <w:p w14:paraId="1A6375D4" w14:textId="0C039D34" w:rsidR="009B6A26" w:rsidRDefault="00A2562E" w:rsidP="00A2562E">
            <w:pPr>
              <w:rPr>
                <w:lang w:eastAsia="zh-CN"/>
              </w:rPr>
            </w:pPr>
            <w:r>
              <w:t xml:space="preserve"> </w:t>
            </w:r>
          </w:p>
        </w:tc>
      </w:tr>
      <w:tr w:rsidR="009B6A26" w14:paraId="1A193D52" w14:textId="77777777" w:rsidTr="009B6A26">
        <w:tc>
          <w:tcPr>
            <w:tcW w:w="5371" w:type="dxa"/>
          </w:tcPr>
          <w:p w14:paraId="7E0B9D5C" w14:textId="0710C74C" w:rsidR="009B6A26" w:rsidRPr="009B6A26" w:rsidRDefault="009B6A26" w:rsidP="00A47A3B">
            <w:pPr>
              <w:rPr>
                <w:lang w:eastAsia="zh-CN"/>
              </w:rPr>
            </w:pPr>
            <w:r w:rsidRPr="009B6A26">
              <w:rPr>
                <w:lang w:eastAsia="zh-CN"/>
              </w:rPr>
              <w:t>Upper layers are informed of the release of the application layer measurements at RRCSetup (can be done if RRC setup is provided as a response to RRCresumerequest or RRC reestablishmentrequest)</w:t>
            </w:r>
          </w:p>
        </w:tc>
        <w:tc>
          <w:tcPr>
            <w:tcW w:w="4263" w:type="dxa"/>
          </w:tcPr>
          <w:p w14:paraId="1EA0CE5B" w14:textId="2AA9E365" w:rsidR="009B6A26" w:rsidRPr="00B37829" w:rsidRDefault="00B37829" w:rsidP="00B37829">
            <w:pPr>
              <w:rPr>
                <w:lang w:eastAsia="zh-CN"/>
              </w:rPr>
            </w:pPr>
            <w:r>
              <w:rPr>
                <w:lang w:eastAsia="zh-CN"/>
              </w:rPr>
              <w:t xml:space="preserve">For the RRCSetup provided as a response to RRCResumeRqeust or RRC reestablishment request, the UE also need to release the RAN visible QoE. Therefore we think </w:t>
            </w:r>
            <w:r w:rsidRPr="00F9403B">
              <w:rPr>
                <w:b/>
                <w:lang w:eastAsia="zh-CN"/>
              </w:rPr>
              <w:t>the agreement could be applied to RAN visible QoE</w:t>
            </w:r>
            <w:r>
              <w:rPr>
                <w:lang w:eastAsia="zh-CN"/>
              </w:rPr>
              <w:t>.</w:t>
            </w:r>
          </w:p>
        </w:tc>
      </w:tr>
      <w:tr w:rsidR="009B6A26" w14:paraId="3C6C877F" w14:textId="77777777" w:rsidTr="009B6A26">
        <w:tc>
          <w:tcPr>
            <w:tcW w:w="5371" w:type="dxa"/>
          </w:tcPr>
          <w:p w14:paraId="4B5B157D" w14:textId="39A73621" w:rsidR="009B6A26" w:rsidRPr="009B6A26" w:rsidRDefault="009B6A26" w:rsidP="00A47A3B">
            <w:pPr>
              <w:rPr>
                <w:lang w:eastAsia="zh-CN"/>
              </w:rPr>
            </w:pPr>
            <w:r w:rsidRPr="009B6A26">
              <w:rPr>
                <w:lang w:eastAsia="zh-CN"/>
              </w:rPr>
              <w:t>At Resume with delta configuration the network indicates possible differences to the QoE configurations</w:t>
            </w:r>
          </w:p>
        </w:tc>
        <w:tc>
          <w:tcPr>
            <w:tcW w:w="4263" w:type="dxa"/>
          </w:tcPr>
          <w:p w14:paraId="58952990" w14:textId="77777777" w:rsidR="00B37829" w:rsidRDefault="00B37829" w:rsidP="00B37829">
            <w:pPr>
              <w:contextualSpacing/>
              <w:rPr>
                <w:lang w:eastAsia="zh-CN"/>
              </w:rPr>
            </w:pPr>
            <w:r>
              <w:rPr>
                <w:lang w:eastAsia="zh-CN"/>
              </w:rPr>
              <w:t>RAN3 has the following agreement ”</w:t>
            </w:r>
            <w:r w:rsidRPr="009B45E1">
              <w:rPr>
                <w:rFonts w:ascii="Calibri" w:hAnsi="Calibri" w:cs="Calibri"/>
                <w:b/>
                <w:color w:val="008000"/>
                <w:sz w:val="18"/>
              </w:rPr>
              <w:t xml:space="preserve"> Target node may generate new RAN visible QoE configuration and send to UE during handover or RRC resume procedure.</w:t>
            </w:r>
            <w:r>
              <w:rPr>
                <w:lang w:eastAsia="zh-CN"/>
              </w:rPr>
              <w:t>”</w:t>
            </w:r>
          </w:p>
          <w:p w14:paraId="00544876" w14:textId="6D687039" w:rsidR="009B6A26" w:rsidRDefault="00B37829" w:rsidP="00B37829">
            <w:pPr>
              <w:rPr>
                <w:lang w:eastAsia="zh-CN"/>
              </w:rPr>
            </w:pPr>
            <w:r>
              <w:rPr>
                <w:lang w:eastAsia="zh-CN"/>
              </w:rPr>
              <w:t xml:space="preserve">Therefore </w:t>
            </w:r>
            <w:r w:rsidRPr="00F9403B">
              <w:rPr>
                <w:b/>
                <w:lang w:eastAsia="zh-CN"/>
              </w:rPr>
              <w:t>we think the agreement could be applied to RAN visible QoE</w:t>
            </w:r>
            <w:r>
              <w:rPr>
                <w:lang w:eastAsia="zh-CN"/>
              </w:rPr>
              <w:t>.</w:t>
            </w:r>
          </w:p>
        </w:tc>
      </w:tr>
      <w:tr w:rsidR="009B6A26" w14:paraId="7BBCAEC8" w14:textId="77777777" w:rsidTr="009B6A26">
        <w:tc>
          <w:tcPr>
            <w:tcW w:w="5371" w:type="dxa"/>
          </w:tcPr>
          <w:p w14:paraId="2A96E88F" w14:textId="5741843D" w:rsidR="009B6A26" w:rsidRPr="009B6A26" w:rsidRDefault="009B6A26" w:rsidP="00A47A3B">
            <w:pPr>
              <w:rPr>
                <w:lang w:eastAsia="zh-CN"/>
              </w:rPr>
            </w:pPr>
            <w:r w:rsidRPr="009B6A26">
              <w:rPr>
                <w:lang w:eastAsia="zh-CN"/>
              </w:rPr>
              <w:t>At mobility with fullConfig, upper layers are informed of the release of the application layer measurements if no measConfigAppLayerId is indicated by the network</w:t>
            </w:r>
          </w:p>
        </w:tc>
        <w:tc>
          <w:tcPr>
            <w:tcW w:w="4263" w:type="dxa"/>
          </w:tcPr>
          <w:p w14:paraId="7A647A81" w14:textId="1C994CD9" w:rsidR="009B6A26" w:rsidRDefault="00B37829" w:rsidP="00A47A3B">
            <w:pPr>
              <w:rPr>
                <w:lang w:eastAsia="zh-CN"/>
              </w:rPr>
            </w:pPr>
            <w:r>
              <w:rPr>
                <w:rFonts w:hint="eastAsia"/>
                <w:lang w:eastAsia="zh-CN"/>
              </w:rPr>
              <w:t>F</w:t>
            </w:r>
            <w:r>
              <w:rPr>
                <w:lang w:eastAsia="zh-CN"/>
              </w:rPr>
              <w:t xml:space="preserve">or the same reason as the legacy QoE measurement, </w:t>
            </w:r>
            <w:r w:rsidRPr="00F9403B">
              <w:rPr>
                <w:b/>
                <w:lang w:eastAsia="zh-CN"/>
              </w:rPr>
              <w:t>we think the agreement could be applied to RAN visible QoE</w:t>
            </w:r>
            <w:r>
              <w:rPr>
                <w:lang w:eastAsia="zh-CN"/>
              </w:rPr>
              <w:t>.</w:t>
            </w:r>
          </w:p>
        </w:tc>
      </w:tr>
    </w:tbl>
    <w:p w14:paraId="7B64241F" w14:textId="77777777" w:rsidR="008A0B63" w:rsidRDefault="008A0B63" w:rsidP="00A47A3B">
      <w:pPr>
        <w:rPr>
          <w:lang w:eastAsia="zh-CN"/>
        </w:rPr>
      </w:pPr>
    </w:p>
    <w:p w14:paraId="663FE825" w14:textId="6135F766" w:rsidR="008A0B63" w:rsidRPr="00B261DE" w:rsidRDefault="00B261DE" w:rsidP="00A47A3B">
      <w:pPr>
        <w:rPr>
          <w:b/>
          <w:lang w:eastAsia="zh-CN"/>
        </w:rPr>
      </w:pPr>
      <w:r w:rsidRPr="00B261DE">
        <w:rPr>
          <w:rFonts w:hint="eastAsia"/>
          <w:b/>
          <w:lang w:eastAsia="zh-CN"/>
        </w:rPr>
        <w:t>P</w:t>
      </w:r>
      <w:r w:rsidRPr="00B261DE">
        <w:rPr>
          <w:b/>
          <w:lang w:eastAsia="zh-CN"/>
        </w:rPr>
        <w:t>roposal 1: All the</w:t>
      </w:r>
      <w:r>
        <w:rPr>
          <w:b/>
          <w:lang w:eastAsia="zh-CN"/>
        </w:rPr>
        <w:t xml:space="preserve"> existing</w:t>
      </w:r>
      <w:r w:rsidRPr="00B261DE">
        <w:rPr>
          <w:b/>
          <w:lang w:eastAsia="zh-CN"/>
        </w:rPr>
        <w:t xml:space="preserve"> agreeme</w:t>
      </w:r>
      <w:r w:rsidR="002D0659">
        <w:rPr>
          <w:b/>
          <w:lang w:eastAsia="zh-CN"/>
        </w:rPr>
        <w:t>nts of legacy QoE mobility can</w:t>
      </w:r>
      <w:r w:rsidRPr="00B261DE">
        <w:rPr>
          <w:b/>
          <w:lang w:eastAsia="zh-CN"/>
        </w:rPr>
        <w:t xml:space="preserve"> be applied to RAN visible QoE.</w:t>
      </w:r>
    </w:p>
    <w:p w14:paraId="65AFF840" w14:textId="77777777" w:rsidR="00571816" w:rsidRDefault="00AD2A45" w:rsidP="00AD2A45">
      <w:pPr>
        <w:rPr>
          <w:lang w:eastAsia="zh-CN"/>
        </w:rPr>
      </w:pPr>
      <w:r w:rsidRPr="00AD2A45">
        <w:rPr>
          <w:rFonts w:eastAsiaTheme="minorEastAsia" w:hint="eastAsia"/>
          <w:lang w:eastAsia="zh-CN"/>
        </w:rPr>
        <w:t>R</w:t>
      </w:r>
      <w:r w:rsidRPr="00AD2A45">
        <w:rPr>
          <w:rFonts w:eastAsiaTheme="minorEastAsia"/>
          <w:lang w:eastAsia="zh-CN"/>
        </w:rPr>
        <w:t xml:space="preserve">AN2 has agreed to configure the QoE measurement container and RAN visible QoE measurement in the RRC Reconfiguration message. During the handover, the source node will transport all the configuration generated by the source node to the target node in the RRC container within the handover request message. </w:t>
      </w:r>
      <w:r w:rsidR="00571816">
        <w:rPr>
          <w:rFonts w:eastAsiaTheme="minorEastAsia"/>
          <w:lang w:eastAsia="zh-CN"/>
        </w:rPr>
        <w:t xml:space="preserve"> Therefore there is no RAN2 impacts.</w:t>
      </w:r>
    </w:p>
    <w:p w14:paraId="68184851" w14:textId="02822F3E" w:rsidR="00AD2A45" w:rsidRPr="00AD2A45" w:rsidRDefault="00AD2A45" w:rsidP="00AD2A45">
      <w:pPr>
        <w:rPr>
          <w:rFonts w:eastAsiaTheme="minorEastAsia"/>
          <w:lang w:eastAsia="zh-CN"/>
        </w:rPr>
      </w:pPr>
      <w:r w:rsidRPr="00AD2A45">
        <w:rPr>
          <w:rFonts w:eastAsiaTheme="minorEastAsia"/>
          <w:b/>
          <w:lang w:eastAsia="zh-CN"/>
        </w:rPr>
        <w:lastRenderedPageBreak/>
        <w:t>Proposal 2: RAN visible QoE metrics configured at the UE are included in RRC container during the handover procedure.</w:t>
      </w:r>
      <w:r w:rsidR="00571816">
        <w:rPr>
          <w:rFonts w:eastAsiaTheme="minorEastAsia"/>
          <w:b/>
          <w:lang w:eastAsia="zh-CN"/>
        </w:rPr>
        <w:t xml:space="preserve"> There </w:t>
      </w:r>
      <w:r w:rsidR="002D0659">
        <w:rPr>
          <w:rFonts w:eastAsiaTheme="minorEastAsia"/>
          <w:b/>
          <w:lang w:eastAsia="zh-CN"/>
        </w:rPr>
        <w:t xml:space="preserve">are </w:t>
      </w:r>
      <w:r w:rsidR="00571816">
        <w:rPr>
          <w:rFonts w:eastAsiaTheme="minorEastAsia"/>
          <w:b/>
          <w:lang w:eastAsia="zh-CN"/>
        </w:rPr>
        <w:t xml:space="preserve">no </w:t>
      </w:r>
      <w:r w:rsidR="002D0659">
        <w:rPr>
          <w:rFonts w:eastAsiaTheme="minorEastAsia"/>
          <w:b/>
          <w:lang w:eastAsia="zh-CN"/>
        </w:rPr>
        <w:t xml:space="preserve">further </w:t>
      </w:r>
      <w:r w:rsidR="00571816">
        <w:rPr>
          <w:rFonts w:eastAsiaTheme="minorEastAsia"/>
          <w:b/>
          <w:lang w:eastAsia="zh-CN"/>
        </w:rPr>
        <w:t>RAN2 impacts</w:t>
      </w:r>
      <w:r w:rsidR="002D0659">
        <w:rPr>
          <w:rFonts w:eastAsiaTheme="minorEastAsia"/>
          <w:b/>
          <w:lang w:eastAsia="zh-CN"/>
        </w:rPr>
        <w:t xml:space="preserve"> to support mobility for RAN visible QoE</w:t>
      </w:r>
      <w:r w:rsidR="00571816">
        <w:rPr>
          <w:rFonts w:eastAsiaTheme="minorEastAsia"/>
          <w:b/>
          <w:lang w:eastAsia="zh-CN"/>
        </w:rPr>
        <w:t>.</w:t>
      </w:r>
    </w:p>
    <w:p w14:paraId="3CB1D860" w14:textId="77777777" w:rsidR="008A0B63" w:rsidRPr="004F4EF9" w:rsidRDefault="008A0B63" w:rsidP="00A47A3B"/>
    <w:p w14:paraId="5FF2457F" w14:textId="64E0F41A" w:rsidR="00A209D6" w:rsidRPr="00184A25" w:rsidRDefault="000B6676" w:rsidP="00A209D6">
      <w:pPr>
        <w:pStyle w:val="Heading1"/>
      </w:pPr>
      <w:r>
        <w:t>3</w:t>
      </w:r>
      <w:r w:rsidR="00A209D6" w:rsidRPr="00184A25">
        <w:tab/>
      </w:r>
      <w:r w:rsidR="003E2413" w:rsidRPr="00184A25">
        <w:t>Conclusions</w:t>
      </w:r>
    </w:p>
    <w:p w14:paraId="707576D4" w14:textId="71AAFA8A" w:rsidR="008D76B4" w:rsidRPr="00714270" w:rsidRDefault="000F19DA" w:rsidP="00ED0E0C">
      <w:pPr>
        <w:rPr>
          <w:b/>
        </w:rPr>
      </w:pPr>
      <w:r>
        <w:t>Based on the discussion in this paper, the following is observed and proposed:</w:t>
      </w:r>
    </w:p>
    <w:p w14:paraId="41E9104F" w14:textId="19CDB695" w:rsidR="00571816" w:rsidRPr="00B261DE" w:rsidRDefault="00571816" w:rsidP="00571816">
      <w:pPr>
        <w:rPr>
          <w:b/>
          <w:lang w:eastAsia="zh-CN"/>
        </w:rPr>
      </w:pPr>
      <w:r w:rsidRPr="00B261DE">
        <w:rPr>
          <w:rFonts w:hint="eastAsia"/>
          <w:b/>
          <w:lang w:eastAsia="zh-CN"/>
        </w:rPr>
        <w:t>P</w:t>
      </w:r>
      <w:r w:rsidRPr="00B261DE">
        <w:rPr>
          <w:b/>
          <w:lang w:eastAsia="zh-CN"/>
        </w:rPr>
        <w:t>roposal 1: All the</w:t>
      </w:r>
      <w:r>
        <w:rPr>
          <w:b/>
          <w:lang w:eastAsia="zh-CN"/>
        </w:rPr>
        <w:t xml:space="preserve"> existing</w:t>
      </w:r>
      <w:r w:rsidRPr="00B261DE">
        <w:rPr>
          <w:b/>
          <w:lang w:eastAsia="zh-CN"/>
        </w:rPr>
        <w:t xml:space="preserve"> agreeme</w:t>
      </w:r>
      <w:r w:rsidR="002D0659">
        <w:rPr>
          <w:b/>
          <w:lang w:eastAsia="zh-CN"/>
        </w:rPr>
        <w:t>nts of legacy QoE mobility can</w:t>
      </w:r>
      <w:r w:rsidRPr="00B261DE">
        <w:rPr>
          <w:b/>
          <w:lang w:eastAsia="zh-CN"/>
        </w:rPr>
        <w:t xml:space="preserve"> be applied to RAN visible QoE.</w:t>
      </w:r>
    </w:p>
    <w:p w14:paraId="6282F26E" w14:textId="17F48C05" w:rsidR="00297BCD" w:rsidRPr="002D0659" w:rsidRDefault="002D0659" w:rsidP="004E5716">
      <w:pPr>
        <w:rPr>
          <w:rFonts w:eastAsiaTheme="minorEastAsia"/>
          <w:lang w:eastAsia="zh-CN"/>
        </w:rPr>
      </w:pPr>
      <w:r w:rsidRPr="00AD2A45">
        <w:rPr>
          <w:rFonts w:eastAsiaTheme="minorEastAsia"/>
          <w:b/>
          <w:lang w:eastAsia="zh-CN"/>
        </w:rPr>
        <w:t>Proposal 2: RAN visible QoE metrics configured at the UE are included in RRC container during the handover procedure.</w:t>
      </w:r>
      <w:r>
        <w:rPr>
          <w:rFonts w:eastAsiaTheme="minorEastAsia"/>
          <w:b/>
          <w:lang w:eastAsia="zh-CN"/>
        </w:rPr>
        <w:t xml:space="preserve"> There are no further RAN2 impacts to support mobility for RAN visible QoE.</w:t>
      </w:r>
      <w:bookmarkStart w:id="0" w:name="_GoBack"/>
      <w:bookmarkEnd w:id="0"/>
    </w:p>
    <w:sectPr w:rsidR="00297BCD" w:rsidRPr="002D06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F5AAF" w14:textId="77777777" w:rsidR="00683E7C" w:rsidRDefault="00683E7C">
      <w:r>
        <w:separator/>
      </w:r>
    </w:p>
  </w:endnote>
  <w:endnote w:type="continuationSeparator" w:id="0">
    <w:p w14:paraId="4693ADBB" w14:textId="77777777" w:rsidR="00683E7C" w:rsidRDefault="0068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F76B9" w14:textId="77777777" w:rsidR="00683E7C" w:rsidRDefault="00683E7C">
      <w:r>
        <w:separator/>
      </w:r>
    </w:p>
  </w:footnote>
  <w:footnote w:type="continuationSeparator" w:id="0">
    <w:p w14:paraId="76BFD063" w14:textId="77777777" w:rsidR="00683E7C" w:rsidRDefault="00683E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A96426"/>
    <w:multiLevelType w:val="hybridMultilevel"/>
    <w:tmpl w:val="C35C5C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003A"/>
    <w:multiLevelType w:val="hybridMultilevel"/>
    <w:tmpl w:val="C32876E6"/>
    <w:lvl w:ilvl="0" w:tplc="9A0668FA">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7177C45"/>
    <w:multiLevelType w:val="hybridMultilevel"/>
    <w:tmpl w:val="63AC36C8"/>
    <w:lvl w:ilvl="0" w:tplc="01324E04">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05202B"/>
    <w:multiLevelType w:val="hybridMultilevel"/>
    <w:tmpl w:val="B80C2E56"/>
    <w:lvl w:ilvl="0" w:tplc="B93E2F4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1493B"/>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4C43A9"/>
    <w:multiLevelType w:val="multilevel"/>
    <w:tmpl w:val="D0C6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1D6F39"/>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F61F3"/>
    <w:multiLevelType w:val="hybridMultilevel"/>
    <w:tmpl w:val="7034E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BB95A9E"/>
    <w:multiLevelType w:val="hybridMultilevel"/>
    <w:tmpl w:val="65086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B87B68"/>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BE8411C"/>
    <w:multiLevelType w:val="hybridMultilevel"/>
    <w:tmpl w:val="25D24570"/>
    <w:lvl w:ilvl="0" w:tplc="42C86B62">
      <w:start w:val="1"/>
      <w:numFmt w:val="bullet"/>
      <w:lvlText w:val="•"/>
      <w:lvlJc w:val="left"/>
      <w:pPr>
        <w:tabs>
          <w:tab w:val="num" w:pos="720"/>
        </w:tabs>
        <w:ind w:left="720" w:hanging="360"/>
      </w:pPr>
      <w:rPr>
        <w:rFonts w:ascii="Arial" w:hAnsi="Arial" w:hint="default"/>
      </w:rPr>
    </w:lvl>
    <w:lvl w:ilvl="1" w:tplc="1E46EAD4">
      <w:start w:val="1"/>
      <w:numFmt w:val="bullet"/>
      <w:lvlText w:val="•"/>
      <w:lvlJc w:val="left"/>
      <w:pPr>
        <w:tabs>
          <w:tab w:val="num" w:pos="1440"/>
        </w:tabs>
        <w:ind w:left="1440" w:hanging="360"/>
      </w:pPr>
      <w:rPr>
        <w:rFonts w:ascii="Arial" w:hAnsi="Arial" w:hint="default"/>
      </w:rPr>
    </w:lvl>
    <w:lvl w:ilvl="2" w:tplc="799A6D7A" w:tentative="1">
      <w:start w:val="1"/>
      <w:numFmt w:val="bullet"/>
      <w:lvlText w:val="•"/>
      <w:lvlJc w:val="left"/>
      <w:pPr>
        <w:tabs>
          <w:tab w:val="num" w:pos="2160"/>
        </w:tabs>
        <w:ind w:left="2160" w:hanging="360"/>
      </w:pPr>
      <w:rPr>
        <w:rFonts w:ascii="Arial" w:hAnsi="Arial" w:hint="default"/>
      </w:rPr>
    </w:lvl>
    <w:lvl w:ilvl="3" w:tplc="4BF0ACD2" w:tentative="1">
      <w:start w:val="1"/>
      <w:numFmt w:val="bullet"/>
      <w:lvlText w:val="•"/>
      <w:lvlJc w:val="left"/>
      <w:pPr>
        <w:tabs>
          <w:tab w:val="num" w:pos="2880"/>
        </w:tabs>
        <w:ind w:left="2880" w:hanging="360"/>
      </w:pPr>
      <w:rPr>
        <w:rFonts w:ascii="Arial" w:hAnsi="Arial" w:hint="default"/>
      </w:rPr>
    </w:lvl>
    <w:lvl w:ilvl="4" w:tplc="A8A2C272" w:tentative="1">
      <w:start w:val="1"/>
      <w:numFmt w:val="bullet"/>
      <w:lvlText w:val="•"/>
      <w:lvlJc w:val="left"/>
      <w:pPr>
        <w:tabs>
          <w:tab w:val="num" w:pos="3600"/>
        </w:tabs>
        <w:ind w:left="3600" w:hanging="360"/>
      </w:pPr>
      <w:rPr>
        <w:rFonts w:ascii="Arial" w:hAnsi="Arial" w:hint="default"/>
      </w:rPr>
    </w:lvl>
    <w:lvl w:ilvl="5" w:tplc="251E581A" w:tentative="1">
      <w:start w:val="1"/>
      <w:numFmt w:val="bullet"/>
      <w:lvlText w:val="•"/>
      <w:lvlJc w:val="left"/>
      <w:pPr>
        <w:tabs>
          <w:tab w:val="num" w:pos="4320"/>
        </w:tabs>
        <w:ind w:left="4320" w:hanging="360"/>
      </w:pPr>
      <w:rPr>
        <w:rFonts w:ascii="Arial" w:hAnsi="Arial" w:hint="default"/>
      </w:rPr>
    </w:lvl>
    <w:lvl w:ilvl="6" w:tplc="420AFD22" w:tentative="1">
      <w:start w:val="1"/>
      <w:numFmt w:val="bullet"/>
      <w:lvlText w:val="•"/>
      <w:lvlJc w:val="left"/>
      <w:pPr>
        <w:tabs>
          <w:tab w:val="num" w:pos="5040"/>
        </w:tabs>
        <w:ind w:left="5040" w:hanging="360"/>
      </w:pPr>
      <w:rPr>
        <w:rFonts w:ascii="Arial" w:hAnsi="Arial" w:hint="default"/>
      </w:rPr>
    </w:lvl>
    <w:lvl w:ilvl="7" w:tplc="9EE8A196" w:tentative="1">
      <w:start w:val="1"/>
      <w:numFmt w:val="bullet"/>
      <w:lvlText w:val="•"/>
      <w:lvlJc w:val="left"/>
      <w:pPr>
        <w:tabs>
          <w:tab w:val="num" w:pos="5760"/>
        </w:tabs>
        <w:ind w:left="5760" w:hanging="360"/>
      </w:pPr>
      <w:rPr>
        <w:rFonts w:ascii="Arial" w:hAnsi="Arial" w:hint="default"/>
      </w:rPr>
    </w:lvl>
    <w:lvl w:ilvl="8" w:tplc="852C6A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E060299"/>
    <w:multiLevelType w:val="hybridMultilevel"/>
    <w:tmpl w:val="5BCE57EE"/>
    <w:lvl w:ilvl="0" w:tplc="1F2AE0D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355B4F"/>
    <w:multiLevelType w:val="hybridMultilevel"/>
    <w:tmpl w:val="159EAC4A"/>
    <w:lvl w:ilvl="0" w:tplc="77380DE2">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F35735F"/>
    <w:multiLevelType w:val="hybridMultilevel"/>
    <w:tmpl w:val="83EE9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F1F1E"/>
    <w:multiLevelType w:val="hybridMultilevel"/>
    <w:tmpl w:val="CD9A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74E26BF"/>
    <w:multiLevelType w:val="hybridMultilevel"/>
    <w:tmpl w:val="32286EAA"/>
    <w:lvl w:ilvl="0" w:tplc="CCB85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2A142C"/>
    <w:multiLevelType w:val="hybridMultilevel"/>
    <w:tmpl w:val="1480D876"/>
    <w:lvl w:ilvl="0" w:tplc="B2842408">
      <w:start w:val="1"/>
      <w:numFmt w:val="bullet"/>
      <w:lvlText w:val="•"/>
      <w:lvlJc w:val="left"/>
      <w:pPr>
        <w:tabs>
          <w:tab w:val="num" w:pos="720"/>
        </w:tabs>
        <w:ind w:left="720" w:hanging="360"/>
      </w:pPr>
      <w:rPr>
        <w:rFonts w:ascii="Arial" w:hAnsi="Arial" w:hint="default"/>
      </w:rPr>
    </w:lvl>
    <w:lvl w:ilvl="1" w:tplc="B0D21B40">
      <w:start w:val="1"/>
      <w:numFmt w:val="bullet"/>
      <w:lvlText w:val="•"/>
      <w:lvlJc w:val="left"/>
      <w:pPr>
        <w:tabs>
          <w:tab w:val="num" w:pos="1440"/>
        </w:tabs>
        <w:ind w:left="1440" w:hanging="360"/>
      </w:pPr>
      <w:rPr>
        <w:rFonts w:ascii="Arial" w:hAnsi="Arial" w:hint="default"/>
      </w:rPr>
    </w:lvl>
    <w:lvl w:ilvl="2" w:tplc="CC882096" w:tentative="1">
      <w:start w:val="1"/>
      <w:numFmt w:val="bullet"/>
      <w:lvlText w:val="•"/>
      <w:lvlJc w:val="left"/>
      <w:pPr>
        <w:tabs>
          <w:tab w:val="num" w:pos="2160"/>
        </w:tabs>
        <w:ind w:left="2160" w:hanging="360"/>
      </w:pPr>
      <w:rPr>
        <w:rFonts w:ascii="Arial" w:hAnsi="Arial" w:hint="default"/>
      </w:rPr>
    </w:lvl>
    <w:lvl w:ilvl="3" w:tplc="6936CFBA" w:tentative="1">
      <w:start w:val="1"/>
      <w:numFmt w:val="bullet"/>
      <w:lvlText w:val="•"/>
      <w:lvlJc w:val="left"/>
      <w:pPr>
        <w:tabs>
          <w:tab w:val="num" w:pos="2880"/>
        </w:tabs>
        <w:ind w:left="2880" w:hanging="360"/>
      </w:pPr>
      <w:rPr>
        <w:rFonts w:ascii="Arial" w:hAnsi="Arial" w:hint="default"/>
      </w:rPr>
    </w:lvl>
    <w:lvl w:ilvl="4" w:tplc="98045C3A" w:tentative="1">
      <w:start w:val="1"/>
      <w:numFmt w:val="bullet"/>
      <w:lvlText w:val="•"/>
      <w:lvlJc w:val="left"/>
      <w:pPr>
        <w:tabs>
          <w:tab w:val="num" w:pos="3600"/>
        </w:tabs>
        <w:ind w:left="3600" w:hanging="360"/>
      </w:pPr>
      <w:rPr>
        <w:rFonts w:ascii="Arial" w:hAnsi="Arial" w:hint="default"/>
      </w:rPr>
    </w:lvl>
    <w:lvl w:ilvl="5" w:tplc="6FEACA5C" w:tentative="1">
      <w:start w:val="1"/>
      <w:numFmt w:val="bullet"/>
      <w:lvlText w:val="•"/>
      <w:lvlJc w:val="left"/>
      <w:pPr>
        <w:tabs>
          <w:tab w:val="num" w:pos="4320"/>
        </w:tabs>
        <w:ind w:left="4320" w:hanging="360"/>
      </w:pPr>
      <w:rPr>
        <w:rFonts w:ascii="Arial" w:hAnsi="Arial" w:hint="default"/>
      </w:rPr>
    </w:lvl>
    <w:lvl w:ilvl="6" w:tplc="BEC65C7C" w:tentative="1">
      <w:start w:val="1"/>
      <w:numFmt w:val="bullet"/>
      <w:lvlText w:val="•"/>
      <w:lvlJc w:val="left"/>
      <w:pPr>
        <w:tabs>
          <w:tab w:val="num" w:pos="5040"/>
        </w:tabs>
        <w:ind w:left="5040" w:hanging="360"/>
      </w:pPr>
      <w:rPr>
        <w:rFonts w:ascii="Arial" w:hAnsi="Arial" w:hint="default"/>
      </w:rPr>
    </w:lvl>
    <w:lvl w:ilvl="7" w:tplc="7B46A71E" w:tentative="1">
      <w:start w:val="1"/>
      <w:numFmt w:val="bullet"/>
      <w:lvlText w:val="•"/>
      <w:lvlJc w:val="left"/>
      <w:pPr>
        <w:tabs>
          <w:tab w:val="num" w:pos="5760"/>
        </w:tabs>
        <w:ind w:left="5760" w:hanging="360"/>
      </w:pPr>
      <w:rPr>
        <w:rFonts w:ascii="Arial" w:hAnsi="Arial" w:hint="default"/>
      </w:rPr>
    </w:lvl>
    <w:lvl w:ilvl="8" w:tplc="D4463C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5A5F1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0733D"/>
    <w:multiLevelType w:val="hybridMultilevel"/>
    <w:tmpl w:val="BD6A3660"/>
    <w:lvl w:ilvl="0" w:tplc="CCBE32FE">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EB34A3"/>
    <w:multiLevelType w:val="hybridMultilevel"/>
    <w:tmpl w:val="8C9474C4"/>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C8400A"/>
    <w:multiLevelType w:val="hybridMultilevel"/>
    <w:tmpl w:val="1E96C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5251AD"/>
    <w:multiLevelType w:val="hybridMultilevel"/>
    <w:tmpl w:val="66E4BD6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8040422"/>
    <w:multiLevelType w:val="hybridMultilevel"/>
    <w:tmpl w:val="558AF9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ABC6135"/>
    <w:multiLevelType w:val="hybridMultilevel"/>
    <w:tmpl w:val="4968950C"/>
    <w:lvl w:ilvl="0" w:tplc="B77E125A">
      <w:numFmt w:val="bullet"/>
      <w:lvlText w:val=""/>
      <w:lvlJc w:val="left"/>
      <w:pPr>
        <w:ind w:left="405" w:hanging="360"/>
      </w:pPr>
      <w:rPr>
        <w:rFonts w:ascii="Wingdings" w:eastAsia="Times New Roman" w:hAnsi="Wingdings" w:cs="Times New Roman" w:hint="default"/>
      </w:rPr>
    </w:lvl>
    <w:lvl w:ilvl="1" w:tplc="040B0003" w:tentative="1">
      <w:start w:val="1"/>
      <w:numFmt w:val="bullet"/>
      <w:lvlText w:val="o"/>
      <w:lvlJc w:val="left"/>
      <w:pPr>
        <w:ind w:left="1125" w:hanging="360"/>
      </w:pPr>
      <w:rPr>
        <w:rFonts w:ascii="Courier New" w:hAnsi="Courier New" w:cs="Courier New" w:hint="default"/>
      </w:rPr>
    </w:lvl>
    <w:lvl w:ilvl="2" w:tplc="040B0005" w:tentative="1">
      <w:start w:val="1"/>
      <w:numFmt w:val="bullet"/>
      <w:lvlText w:val=""/>
      <w:lvlJc w:val="left"/>
      <w:pPr>
        <w:ind w:left="1845" w:hanging="360"/>
      </w:pPr>
      <w:rPr>
        <w:rFonts w:ascii="Wingdings" w:hAnsi="Wingdings" w:hint="default"/>
      </w:rPr>
    </w:lvl>
    <w:lvl w:ilvl="3" w:tplc="040B0001" w:tentative="1">
      <w:start w:val="1"/>
      <w:numFmt w:val="bullet"/>
      <w:lvlText w:val=""/>
      <w:lvlJc w:val="left"/>
      <w:pPr>
        <w:ind w:left="2565" w:hanging="360"/>
      </w:pPr>
      <w:rPr>
        <w:rFonts w:ascii="Symbol" w:hAnsi="Symbol" w:hint="default"/>
      </w:rPr>
    </w:lvl>
    <w:lvl w:ilvl="4" w:tplc="040B0003" w:tentative="1">
      <w:start w:val="1"/>
      <w:numFmt w:val="bullet"/>
      <w:lvlText w:val="o"/>
      <w:lvlJc w:val="left"/>
      <w:pPr>
        <w:ind w:left="3285" w:hanging="360"/>
      </w:pPr>
      <w:rPr>
        <w:rFonts w:ascii="Courier New" w:hAnsi="Courier New" w:cs="Courier New" w:hint="default"/>
      </w:rPr>
    </w:lvl>
    <w:lvl w:ilvl="5" w:tplc="040B0005" w:tentative="1">
      <w:start w:val="1"/>
      <w:numFmt w:val="bullet"/>
      <w:lvlText w:val=""/>
      <w:lvlJc w:val="left"/>
      <w:pPr>
        <w:ind w:left="4005" w:hanging="360"/>
      </w:pPr>
      <w:rPr>
        <w:rFonts w:ascii="Wingdings" w:hAnsi="Wingdings" w:hint="default"/>
      </w:rPr>
    </w:lvl>
    <w:lvl w:ilvl="6" w:tplc="040B0001" w:tentative="1">
      <w:start w:val="1"/>
      <w:numFmt w:val="bullet"/>
      <w:lvlText w:val=""/>
      <w:lvlJc w:val="left"/>
      <w:pPr>
        <w:ind w:left="4725" w:hanging="360"/>
      </w:pPr>
      <w:rPr>
        <w:rFonts w:ascii="Symbol" w:hAnsi="Symbol" w:hint="default"/>
      </w:rPr>
    </w:lvl>
    <w:lvl w:ilvl="7" w:tplc="040B0003" w:tentative="1">
      <w:start w:val="1"/>
      <w:numFmt w:val="bullet"/>
      <w:lvlText w:val="o"/>
      <w:lvlJc w:val="left"/>
      <w:pPr>
        <w:ind w:left="5445" w:hanging="360"/>
      </w:pPr>
      <w:rPr>
        <w:rFonts w:ascii="Courier New" w:hAnsi="Courier New" w:cs="Courier New" w:hint="default"/>
      </w:rPr>
    </w:lvl>
    <w:lvl w:ilvl="8" w:tplc="040B0005" w:tentative="1">
      <w:start w:val="1"/>
      <w:numFmt w:val="bullet"/>
      <w:lvlText w:val=""/>
      <w:lvlJc w:val="left"/>
      <w:pPr>
        <w:ind w:left="6165" w:hanging="360"/>
      </w:pPr>
      <w:rPr>
        <w:rFonts w:ascii="Wingdings" w:hAnsi="Wingdings" w:hint="default"/>
      </w:rPr>
    </w:lvl>
  </w:abstractNum>
  <w:abstractNum w:abstractNumId="37" w15:restartNumberingAfterBreak="0">
    <w:nsid w:val="7D1C5C13"/>
    <w:multiLevelType w:val="hybridMultilevel"/>
    <w:tmpl w:val="B5CA8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32454A"/>
    <w:multiLevelType w:val="hybridMultilevel"/>
    <w:tmpl w:val="D88627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2"/>
  </w:num>
  <w:num w:numId="6">
    <w:abstractNumId w:val="16"/>
  </w:num>
  <w:num w:numId="7">
    <w:abstractNumId w:val="17"/>
  </w:num>
  <w:num w:numId="8">
    <w:abstractNumId w:val="31"/>
  </w:num>
  <w:num w:numId="9">
    <w:abstractNumId w:val="29"/>
  </w:num>
  <w:num w:numId="10">
    <w:abstractNumId w:val="19"/>
  </w:num>
  <w:num w:numId="11">
    <w:abstractNumId w:val="33"/>
  </w:num>
  <w:num w:numId="12">
    <w:abstractNumId w:val="38"/>
  </w:num>
  <w:num w:numId="13">
    <w:abstractNumId w:val="31"/>
  </w:num>
  <w:num w:numId="14">
    <w:abstractNumId w:val="8"/>
  </w:num>
  <w:num w:numId="15">
    <w:abstractNumId w:val="5"/>
  </w:num>
  <w:num w:numId="16">
    <w:abstractNumId w:val="4"/>
  </w:num>
  <w:num w:numId="17">
    <w:abstractNumId w:val="36"/>
  </w:num>
  <w:num w:numId="18">
    <w:abstractNumId w:val="21"/>
  </w:num>
  <w:num w:numId="19">
    <w:abstractNumId w:val="32"/>
  </w:num>
  <w:num w:numId="20">
    <w:abstractNumId w:val="28"/>
  </w:num>
  <w:num w:numId="21">
    <w:abstractNumId w:val="24"/>
  </w:num>
  <w:num w:numId="22">
    <w:abstractNumId w:val="27"/>
  </w:num>
  <w:num w:numId="23">
    <w:abstractNumId w:val="11"/>
  </w:num>
  <w:num w:numId="24">
    <w:abstractNumId w:val="22"/>
  </w:num>
  <w:num w:numId="25">
    <w:abstractNumId w:val="7"/>
  </w:num>
  <w:num w:numId="26">
    <w:abstractNumId w:val="37"/>
  </w:num>
  <w:num w:numId="27">
    <w:abstractNumId w:val="10"/>
  </w:num>
  <w:num w:numId="28">
    <w:abstractNumId w:val="9"/>
  </w:num>
  <w:num w:numId="29">
    <w:abstractNumId w:val="15"/>
  </w:num>
  <w:num w:numId="30">
    <w:abstractNumId w:val="14"/>
  </w:num>
  <w:num w:numId="31">
    <w:abstractNumId w:val="23"/>
  </w:num>
  <w:num w:numId="32">
    <w:abstractNumId w:val="25"/>
  </w:num>
  <w:num w:numId="33">
    <w:abstractNumId w:val="30"/>
  </w:num>
  <w:num w:numId="34">
    <w:abstractNumId w:val="34"/>
  </w:num>
  <w:num w:numId="35">
    <w:abstractNumId w:val="2"/>
  </w:num>
  <w:num w:numId="36">
    <w:abstractNumId w:val="3"/>
  </w:num>
  <w:num w:numId="37">
    <w:abstractNumId w:val="18"/>
  </w:num>
  <w:num w:numId="38">
    <w:abstractNumId w:val="26"/>
  </w:num>
  <w:num w:numId="39">
    <w:abstractNumId w:val="35"/>
  </w:num>
  <w:num w:numId="40">
    <w:abstractNumId w:val="20"/>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6D0"/>
    <w:rsid w:val="00020D74"/>
    <w:rsid w:val="000224FE"/>
    <w:rsid w:val="00024440"/>
    <w:rsid w:val="000273C1"/>
    <w:rsid w:val="00032255"/>
    <w:rsid w:val="00033397"/>
    <w:rsid w:val="0003526C"/>
    <w:rsid w:val="00036528"/>
    <w:rsid w:val="000378D7"/>
    <w:rsid w:val="00040095"/>
    <w:rsid w:val="00040991"/>
    <w:rsid w:val="000426DB"/>
    <w:rsid w:val="00045AD3"/>
    <w:rsid w:val="00046F9B"/>
    <w:rsid w:val="00051C92"/>
    <w:rsid w:val="000534AE"/>
    <w:rsid w:val="00055988"/>
    <w:rsid w:val="000619BF"/>
    <w:rsid w:val="000635C3"/>
    <w:rsid w:val="0006509A"/>
    <w:rsid w:val="00065408"/>
    <w:rsid w:val="00066321"/>
    <w:rsid w:val="000670E7"/>
    <w:rsid w:val="000718F4"/>
    <w:rsid w:val="00073C9C"/>
    <w:rsid w:val="0007698E"/>
    <w:rsid w:val="00080512"/>
    <w:rsid w:val="00090468"/>
    <w:rsid w:val="00091FE0"/>
    <w:rsid w:val="0009329A"/>
    <w:rsid w:val="00096A60"/>
    <w:rsid w:val="000A2D88"/>
    <w:rsid w:val="000A7AFE"/>
    <w:rsid w:val="000B1555"/>
    <w:rsid w:val="000B173C"/>
    <w:rsid w:val="000B3A25"/>
    <w:rsid w:val="000B46ED"/>
    <w:rsid w:val="000B6676"/>
    <w:rsid w:val="000B7BCF"/>
    <w:rsid w:val="000C29B1"/>
    <w:rsid w:val="000C522B"/>
    <w:rsid w:val="000C5D16"/>
    <w:rsid w:val="000C640C"/>
    <w:rsid w:val="000C6C35"/>
    <w:rsid w:val="000D2214"/>
    <w:rsid w:val="000D4318"/>
    <w:rsid w:val="000D5173"/>
    <w:rsid w:val="000D58AB"/>
    <w:rsid w:val="000D61A0"/>
    <w:rsid w:val="000F186B"/>
    <w:rsid w:val="000F19DA"/>
    <w:rsid w:val="000F659C"/>
    <w:rsid w:val="000F6BE0"/>
    <w:rsid w:val="000F73C7"/>
    <w:rsid w:val="00101B16"/>
    <w:rsid w:val="00102A59"/>
    <w:rsid w:val="00102C36"/>
    <w:rsid w:val="00112F1A"/>
    <w:rsid w:val="00116036"/>
    <w:rsid w:val="00116205"/>
    <w:rsid w:val="00116E2C"/>
    <w:rsid w:val="00117C13"/>
    <w:rsid w:val="00122DAE"/>
    <w:rsid w:val="001247D3"/>
    <w:rsid w:val="001325FB"/>
    <w:rsid w:val="00141E8D"/>
    <w:rsid w:val="00142423"/>
    <w:rsid w:val="00142E97"/>
    <w:rsid w:val="00144458"/>
    <w:rsid w:val="00145075"/>
    <w:rsid w:val="00147048"/>
    <w:rsid w:val="00153093"/>
    <w:rsid w:val="00154574"/>
    <w:rsid w:val="0015469E"/>
    <w:rsid w:val="00155777"/>
    <w:rsid w:val="001574F4"/>
    <w:rsid w:val="0016257B"/>
    <w:rsid w:val="00167AE0"/>
    <w:rsid w:val="00167AEE"/>
    <w:rsid w:val="00167D54"/>
    <w:rsid w:val="00172DD5"/>
    <w:rsid w:val="00172E6E"/>
    <w:rsid w:val="001741A0"/>
    <w:rsid w:val="001751DB"/>
    <w:rsid w:val="00175FA0"/>
    <w:rsid w:val="00177256"/>
    <w:rsid w:val="00184A25"/>
    <w:rsid w:val="00185F8E"/>
    <w:rsid w:val="00187EDD"/>
    <w:rsid w:val="00190AF2"/>
    <w:rsid w:val="00192DDD"/>
    <w:rsid w:val="00193656"/>
    <w:rsid w:val="00194CD0"/>
    <w:rsid w:val="00196408"/>
    <w:rsid w:val="001B0CBD"/>
    <w:rsid w:val="001B2851"/>
    <w:rsid w:val="001B49C9"/>
    <w:rsid w:val="001C4584"/>
    <w:rsid w:val="001C4F79"/>
    <w:rsid w:val="001D2685"/>
    <w:rsid w:val="001D3721"/>
    <w:rsid w:val="001D43A4"/>
    <w:rsid w:val="001D4D83"/>
    <w:rsid w:val="001E08C1"/>
    <w:rsid w:val="001E0FB6"/>
    <w:rsid w:val="001E2431"/>
    <w:rsid w:val="001E29A9"/>
    <w:rsid w:val="001E3184"/>
    <w:rsid w:val="001E7A41"/>
    <w:rsid w:val="001E7F67"/>
    <w:rsid w:val="001F168B"/>
    <w:rsid w:val="001F1AA8"/>
    <w:rsid w:val="001F7831"/>
    <w:rsid w:val="001F7DCC"/>
    <w:rsid w:val="00204045"/>
    <w:rsid w:val="002060E6"/>
    <w:rsid w:val="002065EF"/>
    <w:rsid w:val="0020712B"/>
    <w:rsid w:val="00207943"/>
    <w:rsid w:val="00212C18"/>
    <w:rsid w:val="00212CA3"/>
    <w:rsid w:val="00213EB0"/>
    <w:rsid w:val="00215812"/>
    <w:rsid w:val="00216DE3"/>
    <w:rsid w:val="00221550"/>
    <w:rsid w:val="0022606D"/>
    <w:rsid w:val="00231728"/>
    <w:rsid w:val="0023458E"/>
    <w:rsid w:val="002349DC"/>
    <w:rsid w:val="00241985"/>
    <w:rsid w:val="00246C42"/>
    <w:rsid w:val="002610D8"/>
    <w:rsid w:val="0026764B"/>
    <w:rsid w:val="002747EC"/>
    <w:rsid w:val="00276987"/>
    <w:rsid w:val="00277AA9"/>
    <w:rsid w:val="00280493"/>
    <w:rsid w:val="00280F9C"/>
    <w:rsid w:val="00281EFE"/>
    <w:rsid w:val="00282EB3"/>
    <w:rsid w:val="002855BF"/>
    <w:rsid w:val="0028635C"/>
    <w:rsid w:val="00290884"/>
    <w:rsid w:val="00292A8A"/>
    <w:rsid w:val="00294879"/>
    <w:rsid w:val="00296202"/>
    <w:rsid w:val="00296C5E"/>
    <w:rsid w:val="00296E91"/>
    <w:rsid w:val="00297207"/>
    <w:rsid w:val="00297BCD"/>
    <w:rsid w:val="002B1C4E"/>
    <w:rsid w:val="002B59EF"/>
    <w:rsid w:val="002B7211"/>
    <w:rsid w:val="002C1E72"/>
    <w:rsid w:val="002C6AE2"/>
    <w:rsid w:val="002C6D32"/>
    <w:rsid w:val="002D0659"/>
    <w:rsid w:val="002D065B"/>
    <w:rsid w:val="002D0B07"/>
    <w:rsid w:val="002D3348"/>
    <w:rsid w:val="002D6E71"/>
    <w:rsid w:val="002E15CE"/>
    <w:rsid w:val="002E5358"/>
    <w:rsid w:val="002E702D"/>
    <w:rsid w:val="002F0D22"/>
    <w:rsid w:val="002F299D"/>
    <w:rsid w:val="002F5482"/>
    <w:rsid w:val="002F5AEB"/>
    <w:rsid w:val="002F712E"/>
    <w:rsid w:val="00305A49"/>
    <w:rsid w:val="00315169"/>
    <w:rsid w:val="003172DC"/>
    <w:rsid w:val="003229C4"/>
    <w:rsid w:val="003254DC"/>
    <w:rsid w:val="00325AE3"/>
    <w:rsid w:val="00326069"/>
    <w:rsid w:val="003358C7"/>
    <w:rsid w:val="00340DA3"/>
    <w:rsid w:val="00344BC0"/>
    <w:rsid w:val="00345B7D"/>
    <w:rsid w:val="003470B0"/>
    <w:rsid w:val="0035104C"/>
    <w:rsid w:val="0035279A"/>
    <w:rsid w:val="0035462D"/>
    <w:rsid w:val="00357E0E"/>
    <w:rsid w:val="00362B2B"/>
    <w:rsid w:val="00364797"/>
    <w:rsid w:val="00364B41"/>
    <w:rsid w:val="00364BCA"/>
    <w:rsid w:val="0036586B"/>
    <w:rsid w:val="00366CA8"/>
    <w:rsid w:val="003740BC"/>
    <w:rsid w:val="00375728"/>
    <w:rsid w:val="003769CF"/>
    <w:rsid w:val="00381CC2"/>
    <w:rsid w:val="00382726"/>
    <w:rsid w:val="003829F3"/>
    <w:rsid w:val="00383096"/>
    <w:rsid w:val="003931BE"/>
    <w:rsid w:val="0039373D"/>
    <w:rsid w:val="00395789"/>
    <w:rsid w:val="0039790C"/>
    <w:rsid w:val="003A1174"/>
    <w:rsid w:val="003A17EC"/>
    <w:rsid w:val="003A41EF"/>
    <w:rsid w:val="003A5C2E"/>
    <w:rsid w:val="003B37CE"/>
    <w:rsid w:val="003B40AD"/>
    <w:rsid w:val="003B46C8"/>
    <w:rsid w:val="003B4A90"/>
    <w:rsid w:val="003B50AC"/>
    <w:rsid w:val="003B59CA"/>
    <w:rsid w:val="003C4E37"/>
    <w:rsid w:val="003D5225"/>
    <w:rsid w:val="003D5C93"/>
    <w:rsid w:val="003D5E00"/>
    <w:rsid w:val="003E16BE"/>
    <w:rsid w:val="003E2413"/>
    <w:rsid w:val="003E55F7"/>
    <w:rsid w:val="003E7F26"/>
    <w:rsid w:val="003F072B"/>
    <w:rsid w:val="003F17C7"/>
    <w:rsid w:val="003F4E28"/>
    <w:rsid w:val="003F6014"/>
    <w:rsid w:val="003F7EB7"/>
    <w:rsid w:val="004006E8"/>
    <w:rsid w:val="00400E88"/>
    <w:rsid w:val="00401855"/>
    <w:rsid w:val="00402855"/>
    <w:rsid w:val="00405095"/>
    <w:rsid w:val="00410614"/>
    <w:rsid w:val="004121A2"/>
    <w:rsid w:val="00420C12"/>
    <w:rsid w:val="00426363"/>
    <w:rsid w:val="00430560"/>
    <w:rsid w:val="00431111"/>
    <w:rsid w:val="004325D3"/>
    <w:rsid w:val="00433949"/>
    <w:rsid w:val="00435D6B"/>
    <w:rsid w:val="004368FC"/>
    <w:rsid w:val="00443929"/>
    <w:rsid w:val="0044396D"/>
    <w:rsid w:val="00443F9A"/>
    <w:rsid w:val="0044497C"/>
    <w:rsid w:val="004474BD"/>
    <w:rsid w:val="004504CC"/>
    <w:rsid w:val="004615FD"/>
    <w:rsid w:val="00462D51"/>
    <w:rsid w:val="00463A02"/>
    <w:rsid w:val="00465587"/>
    <w:rsid w:val="00473762"/>
    <w:rsid w:val="0047587B"/>
    <w:rsid w:val="00476DAE"/>
    <w:rsid w:val="00477104"/>
    <w:rsid w:val="00477455"/>
    <w:rsid w:val="0048279B"/>
    <w:rsid w:val="004844F3"/>
    <w:rsid w:val="0048649E"/>
    <w:rsid w:val="00494A06"/>
    <w:rsid w:val="00496899"/>
    <w:rsid w:val="004A1F7B"/>
    <w:rsid w:val="004A227F"/>
    <w:rsid w:val="004A31A7"/>
    <w:rsid w:val="004A6825"/>
    <w:rsid w:val="004A7217"/>
    <w:rsid w:val="004A7AE5"/>
    <w:rsid w:val="004B00D4"/>
    <w:rsid w:val="004B1397"/>
    <w:rsid w:val="004B2180"/>
    <w:rsid w:val="004B472E"/>
    <w:rsid w:val="004C27F7"/>
    <w:rsid w:val="004C44D2"/>
    <w:rsid w:val="004C5761"/>
    <w:rsid w:val="004C6E5D"/>
    <w:rsid w:val="004C7988"/>
    <w:rsid w:val="004D3578"/>
    <w:rsid w:val="004D380D"/>
    <w:rsid w:val="004D414C"/>
    <w:rsid w:val="004D5216"/>
    <w:rsid w:val="004D5E4B"/>
    <w:rsid w:val="004D5E7C"/>
    <w:rsid w:val="004E0371"/>
    <w:rsid w:val="004E08CA"/>
    <w:rsid w:val="004E15C0"/>
    <w:rsid w:val="004E1C6E"/>
    <w:rsid w:val="004E213A"/>
    <w:rsid w:val="004E393F"/>
    <w:rsid w:val="004E5716"/>
    <w:rsid w:val="004E7220"/>
    <w:rsid w:val="004F0277"/>
    <w:rsid w:val="004F0956"/>
    <w:rsid w:val="004F1D3A"/>
    <w:rsid w:val="004F4EF9"/>
    <w:rsid w:val="004F6CE8"/>
    <w:rsid w:val="00500E55"/>
    <w:rsid w:val="00501C0C"/>
    <w:rsid w:val="00502040"/>
    <w:rsid w:val="00503171"/>
    <w:rsid w:val="00506C28"/>
    <w:rsid w:val="00507163"/>
    <w:rsid w:val="0050777F"/>
    <w:rsid w:val="00513D18"/>
    <w:rsid w:val="00514AD0"/>
    <w:rsid w:val="00516A5E"/>
    <w:rsid w:val="005200D9"/>
    <w:rsid w:val="00520436"/>
    <w:rsid w:val="0052152D"/>
    <w:rsid w:val="00524E8D"/>
    <w:rsid w:val="0053109A"/>
    <w:rsid w:val="00534DA0"/>
    <w:rsid w:val="00535AA9"/>
    <w:rsid w:val="00537090"/>
    <w:rsid w:val="00540706"/>
    <w:rsid w:val="00543E6C"/>
    <w:rsid w:val="0054539E"/>
    <w:rsid w:val="00555E0E"/>
    <w:rsid w:val="00556C51"/>
    <w:rsid w:val="0056205F"/>
    <w:rsid w:val="00565087"/>
    <w:rsid w:val="0056573F"/>
    <w:rsid w:val="0057047A"/>
    <w:rsid w:val="005709DB"/>
    <w:rsid w:val="00571816"/>
    <w:rsid w:val="0057621D"/>
    <w:rsid w:val="0058342A"/>
    <w:rsid w:val="00587DA8"/>
    <w:rsid w:val="00590155"/>
    <w:rsid w:val="00590500"/>
    <w:rsid w:val="005948BC"/>
    <w:rsid w:val="005A1299"/>
    <w:rsid w:val="005A2039"/>
    <w:rsid w:val="005A37D8"/>
    <w:rsid w:val="005A545C"/>
    <w:rsid w:val="005B22D6"/>
    <w:rsid w:val="005C204D"/>
    <w:rsid w:val="005C405D"/>
    <w:rsid w:val="005D012A"/>
    <w:rsid w:val="005D10B9"/>
    <w:rsid w:val="005D158D"/>
    <w:rsid w:val="005D48F1"/>
    <w:rsid w:val="005D4E32"/>
    <w:rsid w:val="005D6A57"/>
    <w:rsid w:val="005D719A"/>
    <w:rsid w:val="005D76B6"/>
    <w:rsid w:val="005E1A9E"/>
    <w:rsid w:val="005E79D8"/>
    <w:rsid w:val="005F3D84"/>
    <w:rsid w:val="005F64BC"/>
    <w:rsid w:val="00600817"/>
    <w:rsid w:val="00603318"/>
    <w:rsid w:val="006055A1"/>
    <w:rsid w:val="00605A52"/>
    <w:rsid w:val="00611566"/>
    <w:rsid w:val="0061330D"/>
    <w:rsid w:val="006203CA"/>
    <w:rsid w:val="006245AF"/>
    <w:rsid w:val="00632ECE"/>
    <w:rsid w:val="00634605"/>
    <w:rsid w:val="00646D99"/>
    <w:rsid w:val="0065180E"/>
    <w:rsid w:val="00656910"/>
    <w:rsid w:val="0065741F"/>
    <w:rsid w:val="00664504"/>
    <w:rsid w:val="006659B8"/>
    <w:rsid w:val="00666E12"/>
    <w:rsid w:val="00667E71"/>
    <w:rsid w:val="00671C49"/>
    <w:rsid w:val="00672444"/>
    <w:rsid w:val="006748BC"/>
    <w:rsid w:val="0067698A"/>
    <w:rsid w:val="0068086B"/>
    <w:rsid w:val="00683E7C"/>
    <w:rsid w:val="006844B2"/>
    <w:rsid w:val="006858CD"/>
    <w:rsid w:val="00687690"/>
    <w:rsid w:val="00691780"/>
    <w:rsid w:val="006A1C55"/>
    <w:rsid w:val="006A4400"/>
    <w:rsid w:val="006A69EC"/>
    <w:rsid w:val="006B014A"/>
    <w:rsid w:val="006B0DA0"/>
    <w:rsid w:val="006B1559"/>
    <w:rsid w:val="006B4A3C"/>
    <w:rsid w:val="006C03DE"/>
    <w:rsid w:val="006C2A55"/>
    <w:rsid w:val="006C66D8"/>
    <w:rsid w:val="006D1E24"/>
    <w:rsid w:val="006E1417"/>
    <w:rsid w:val="006E1EB9"/>
    <w:rsid w:val="006E246A"/>
    <w:rsid w:val="006E264B"/>
    <w:rsid w:val="006E5478"/>
    <w:rsid w:val="006E5B63"/>
    <w:rsid w:val="006F67D5"/>
    <w:rsid w:val="006F6A2C"/>
    <w:rsid w:val="00700157"/>
    <w:rsid w:val="007063E7"/>
    <w:rsid w:val="00710201"/>
    <w:rsid w:val="00711428"/>
    <w:rsid w:val="00713645"/>
    <w:rsid w:val="00713D1D"/>
    <w:rsid w:val="00714270"/>
    <w:rsid w:val="00715B19"/>
    <w:rsid w:val="0072073A"/>
    <w:rsid w:val="0072488F"/>
    <w:rsid w:val="007269A1"/>
    <w:rsid w:val="0072713D"/>
    <w:rsid w:val="007303D4"/>
    <w:rsid w:val="00732AF2"/>
    <w:rsid w:val="00733D58"/>
    <w:rsid w:val="007342B5"/>
    <w:rsid w:val="00734A5B"/>
    <w:rsid w:val="00736A55"/>
    <w:rsid w:val="007400A6"/>
    <w:rsid w:val="00744E76"/>
    <w:rsid w:val="00747B73"/>
    <w:rsid w:val="00753C0F"/>
    <w:rsid w:val="00755213"/>
    <w:rsid w:val="00757D40"/>
    <w:rsid w:val="00780FC2"/>
    <w:rsid w:val="00781F0F"/>
    <w:rsid w:val="00785CB5"/>
    <w:rsid w:val="007867AB"/>
    <w:rsid w:val="0078727C"/>
    <w:rsid w:val="0079049D"/>
    <w:rsid w:val="00790502"/>
    <w:rsid w:val="00790961"/>
    <w:rsid w:val="00792903"/>
    <w:rsid w:val="00793DC5"/>
    <w:rsid w:val="007974BC"/>
    <w:rsid w:val="007A1779"/>
    <w:rsid w:val="007A4461"/>
    <w:rsid w:val="007B18D8"/>
    <w:rsid w:val="007B2862"/>
    <w:rsid w:val="007C095F"/>
    <w:rsid w:val="007C2DD0"/>
    <w:rsid w:val="007C47E7"/>
    <w:rsid w:val="007C5A1F"/>
    <w:rsid w:val="007C5EAE"/>
    <w:rsid w:val="007D5AFB"/>
    <w:rsid w:val="007E0856"/>
    <w:rsid w:val="007E0FDC"/>
    <w:rsid w:val="007E23D5"/>
    <w:rsid w:val="007E508C"/>
    <w:rsid w:val="007F0378"/>
    <w:rsid w:val="007F1077"/>
    <w:rsid w:val="007F301A"/>
    <w:rsid w:val="007F6FC6"/>
    <w:rsid w:val="00800FE7"/>
    <w:rsid w:val="008028A4"/>
    <w:rsid w:val="00813245"/>
    <w:rsid w:val="0083309B"/>
    <w:rsid w:val="008334EB"/>
    <w:rsid w:val="00834E5B"/>
    <w:rsid w:val="008361D7"/>
    <w:rsid w:val="00842E80"/>
    <w:rsid w:val="008440CE"/>
    <w:rsid w:val="008503A4"/>
    <w:rsid w:val="00855D62"/>
    <w:rsid w:val="00857A2E"/>
    <w:rsid w:val="008639C6"/>
    <w:rsid w:val="0086776D"/>
    <w:rsid w:val="00872C30"/>
    <w:rsid w:val="008768CA"/>
    <w:rsid w:val="00877EF9"/>
    <w:rsid w:val="00880559"/>
    <w:rsid w:val="00891721"/>
    <w:rsid w:val="00891A3F"/>
    <w:rsid w:val="00897EA9"/>
    <w:rsid w:val="008A0B63"/>
    <w:rsid w:val="008A2518"/>
    <w:rsid w:val="008A620D"/>
    <w:rsid w:val="008B0A38"/>
    <w:rsid w:val="008B48F2"/>
    <w:rsid w:val="008B5306"/>
    <w:rsid w:val="008B642E"/>
    <w:rsid w:val="008C14EC"/>
    <w:rsid w:val="008D06AD"/>
    <w:rsid w:val="008D2E4D"/>
    <w:rsid w:val="008D7129"/>
    <w:rsid w:val="008D76B4"/>
    <w:rsid w:val="008D778B"/>
    <w:rsid w:val="008E05CC"/>
    <w:rsid w:val="008E19DE"/>
    <w:rsid w:val="008E71C2"/>
    <w:rsid w:val="008F1984"/>
    <w:rsid w:val="008F2C2E"/>
    <w:rsid w:val="008F396F"/>
    <w:rsid w:val="008F3A3E"/>
    <w:rsid w:val="008F475B"/>
    <w:rsid w:val="0090271F"/>
    <w:rsid w:val="00902DB9"/>
    <w:rsid w:val="0090466A"/>
    <w:rsid w:val="009049DA"/>
    <w:rsid w:val="00906F60"/>
    <w:rsid w:val="009126C0"/>
    <w:rsid w:val="00914C4F"/>
    <w:rsid w:val="009241FC"/>
    <w:rsid w:val="00924BDD"/>
    <w:rsid w:val="009252D8"/>
    <w:rsid w:val="00925DDC"/>
    <w:rsid w:val="00926524"/>
    <w:rsid w:val="00932154"/>
    <w:rsid w:val="00932472"/>
    <w:rsid w:val="00936071"/>
    <w:rsid w:val="00937983"/>
    <w:rsid w:val="00940212"/>
    <w:rsid w:val="00942EC2"/>
    <w:rsid w:val="00944652"/>
    <w:rsid w:val="00944818"/>
    <w:rsid w:val="00950A89"/>
    <w:rsid w:val="00951ADA"/>
    <w:rsid w:val="00960363"/>
    <w:rsid w:val="00961B32"/>
    <w:rsid w:val="00962509"/>
    <w:rsid w:val="00962FE9"/>
    <w:rsid w:val="009674A3"/>
    <w:rsid w:val="00970DB3"/>
    <w:rsid w:val="00974BB0"/>
    <w:rsid w:val="0097508A"/>
    <w:rsid w:val="009762F4"/>
    <w:rsid w:val="00977661"/>
    <w:rsid w:val="00981FDF"/>
    <w:rsid w:val="009822FB"/>
    <w:rsid w:val="00990173"/>
    <w:rsid w:val="00991816"/>
    <w:rsid w:val="0099213C"/>
    <w:rsid w:val="00992CCF"/>
    <w:rsid w:val="00997BA5"/>
    <w:rsid w:val="00997DB5"/>
    <w:rsid w:val="009A0AF3"/>
    <w:rsid w:val="009A30EE"/>
    <w:rsid w:val="009A435E"/>
    <w:rsid w:val="009A4A84"/>
    <w:rsid w:val="009B07CD"/>
    <w:rsid w:val="009B2784"/>
    <w:rsid w:val="009B2A75"/>
    <w:rsid w:val="009B3545"/>
    <w:rsid w:val="009B3815"/>
    <w:rsid w:val="009B51EE"/>
    <w:rsid w:val="009B6A26"/>
    <w:rsid w:val="009C129B"/>
    <w:rsid w:val="009C19E9"/>
    <w:rsid w:val="009C3CE5"/>
    <w:rsid w:val="009C421A"/>
    <w:rsid w:val="009C6D22"/>
    <w:rsid w:val="009D0622"/>
    <w:rsid w:val="009D10CF"/>
    <w:rsid w:val="009D1D8D"/>
    <w:rsid w:val="009D2B93"/>
    <w:rsid w:val="009D3907"/>
    <w:rsid w:val="009D74A6"/>
    <w:rsid w:val="009D7602"/>
    <w:rsid w:val="009E3EF2"/>
    <w:rsid w:val="009F0C36"/>
    <w:rsid w:val="009F0CDF"/>
    <w:rsid w:val="009F2634"/>
    <w:rsid w:val="009F5734"/>
    <w:rsid w:val="00A00B47"/>
    <w:rsid w:val="00A03B77"/>
    <w:rsid w:val="00A04DA4"/>
    <w:rsid w:val="00A07DAF"/>
    <w:rsid w:val="00A10F02"/>
    <w:rsid w:val="00A1139B"/>
    <w:rsid w:val="00A11AA1"/>
    <w:rsid w:val="00A13F00"/>
    <w:rsid w:val="00A204CA"/>
    <w:rsid w:val="00A209D6"/>
    <w:rsid w:val="00A229E8"/>
    <w:rsid w:val="00A2562E"/>
    <w:rsid w:val="00A26FC8"/>
    <w:rsid w:val="00A328D4"/>
    <w:rsid w:val="00A44664"/>
    <w:rsid w:val="00A472BC"/>
    <w:rsid w:val="00A47A3B"/>
    <w:rsid w:val="00A50756"/>
    <w:rsid w:val="00A5319B"/>
    <w:rsid w:val="00A53724"/>
    <w:rsid w:val="00A54B2B"/>
    <w:rsid w:val="00A627A8"/>
    <w:rsid w:val="00A63267"/>
    <w:rsid w:val="00A64977"/>
    <w:rsid w:val="00A67893"/>
    <w:rsid w:val="00A82346"/>
    <w:rsid w:val="00A91925"/>
    <w:rsid w:val="00A95680"/>
    <w:rsid w:val="00A9671C"/>
    <w:rsid w:val="00AA0933"/>
    <w:rsid w:val="00AA1553"/>
    <w:rsid w:val="00AA2288"/>
    <w:rsid w:val="00AA4AF4"/>
    <w:rsid w:val="00AA6978"/>
    <w:rsid w:val="00AA7ED7"/>
    <w:rsid w:val="00AB057E"/>
    <w:rsid w:val="00AB3313"/>
    <w:rsid w:val="00AB529A"/>
    <w:rsid w:val="00AC39F3"/>
    <w:rsid w:val="00AC3A69"/>
    <w:rsid w:val="00AC5FFD"/>
    <w:rsid w:val="00AD1D6F"/>
    <w:rsid w:val="00AD2A45"/>
    <w:rsid w:val="00AD62D5"/>
    <w:rsid w:val="00AD64AA"/>
    <w:rsid w:val="00AD749A"/>
    <w:rsid w:val="00AD7A58"/>
    <w:rsid w:val="00AE39A1"/>
    <w:rsid w:val="00AE5BC2"/>
    <w:rsid w:val="00AE78BF"/>
    <w:rsid w:val="00AF351E"/>
    <w:rsid w:val="00AF3BE8"/>
    <w:rsid w:val="00AF4F53"/>
    <w:rsid w:val="00AF5760"/>
    <w:rsid w:val="00B05380"/>
    <w:rsid w:val="00B05962"/>
    <w:rsid w:val="00B12189"/>
    <w:rsid w:val="00B15449"/>
    <w:rsid w:val="00B1568D"/>
    <w:rsid w:val="00B17457"/>
    <w:rsid w:val="00B25A28"/>
    <w:rsid w:val="00B261DE"/>
    <w:rsid w:val="00B27303"/>
    <w:rsid w:val="00B301A7"/>
    <w:rsid w:val="00B37829"/>
    <w:rsid w:val="00B42CFB"/>
    <w:rsid w:val="00B42F09"/>
    <w:rsid w:val="00B44D6C"/>
    <w:rsid w:val="00B46E37"/>
    <w:rsid w:val="00B47FD1"/>
    <w:rsid w:val="00B50271"/>
    <w:rsid w:val="00B50706"/>
    <w:rsid w:val="00B516BB"/>
    <w:rsid w:val="00B54160"/>
    <w:rsid w:val="00B55AC6"/>
    <w:rsid w:val="00B61563"/>
    <w:rsid w:val="00B66200"/>
    <w:rsid w:val="00B66FE9"/>
    <w:rsid w:val="00B71767"/>
    <w:rsid w:val="00B76EA6"/>
    <w:rsid w:val="00B77898"/>
    <w:rsid w:val="00B831E4"/>
    <w:rsid w:val="00B84DB2"/>
    <w:rsid w:val="00B93375"/>
    <w:rsid w:val="00B938B4"/>
    <w:rsid w:val="00B94D69"/>
    <w:rsid w:val="00B95F73"/>
    <w:rsid w:val="00BA13C1"/>
    <w:rsid w:val="00BC3555"/>
    <w:rsid w:val="00BC5B10"/>
    <w:rsid w:val="00BC6500"/>
    <w:rsid w:val="00BD00CC"/>
    <w:rsid w:val="00BD4F79"/>
    <w:rsid w:val="00BD7CC4"/>
    <w:rsid w:val="00BE141B"/>
    <w:rsid w:val="00BF26CD"/>
    <w:rsid w:val="00C0491E"/>
    <w:rsid w:val="00C052B6"/>
    <w:rsid w:val="00C11CCB"/>
    <w:rsid w:val="00C12B51"/>
    <w:rsid w:val="00C134BD"/>
    <w:rsid w:val="00C15136"/>
    <w:rsid w:val="00C17804"/>
    <w:rsid w:val="00C2074F"/>
    <w:rsid w:val="00C2155D"/>
    <w:rsid w:val="00C24650"/>
    <w:rsid w:val="00C25465"/>
    <w:rsid w:val="00C33079"/>
    <w:rsid w:val="00C36EEF"/>
    <w:rsid w:val="00C373B5"/>
    <w:rsid w:val="00C43555"/>
    <w:rsid w:val="00C4459E"/>
    <w:rsid w:val="00C45515"/>
    <w:rsid w:val="00C51874"/>
    <w:rsid w:val="00C56005"/>
    <w:rsid w:val="00C57929"/>
    <w:rsid w:val="00C621FF"/>
    <w:rsid w:val="00C71D4B"/>
    <w:rsid w:val="00C741DA"/>
    <w:rsid w:val="00C75FF8"/>
    <w:rsid w:val="00C83A13"/>
    <w:rsid w:val="00C84895"/>
    <w:rsid w:val="00C87FB8"/>
    <w:rsid w:val="00C9068C"/>
    <w:rsid w:val="00C92967"/>
    <w:rsid w:val="00C95FCE"/>
    <w:rsid w:val="00C97FCA"/>
    <w:rsid w:val="00CA3D0C"/>
    <w:rsid w:val="00CA654B"/>
    <w:rsid w:val="00CB1EE6"/>
    <w:rsid w:val="00CB4110"/>
    <w:rsid w:val="00CB72B8"/>
    <w:rsid w:val="00CC24F4"/>
    <w:rsid w:val="00CC4C9A"/>
    <w:rsid w:val="00CC6F61"/>
    <w:rsid w:val="00CC7755"/>
    <w:rsid w:val="00CD0D40"/>
    <w:rsid w:val="00CD4C7B"/>
    <w:rsid w:val="00CD6D6B"/>
    <w:rsid w:val="00CD78B7"/>
    <w:rsid w:val="00CE0093"/>
    <w:rsid w:val="00CE67EB"/>
    <w:rsid w:val="00CF0A6A"/>
    <w:rsid w:val="00CF53AF"/>
    <w:rsid w:val="00CF5526"/>
    <w:rsid w:val="00CF56D5"/>
    <w:rsid w:val="00CF6C3E"/>
    <w:rsid w:val="00CF6D5A"/>
    <w:rsid w:val="00D03D1F"/>
    <w:rsid w:val="00D042CE"/>
    <w:rsid w:val="00D04EDB"/>
    <w:rsid w:val="00D05816"/>
    <w:rsid w:val="00D05A34"/>
    <w:rsid w:val="00D07979"/>
    <w:rsid w:val="00D126F7"/>
    <w:rsid w:val="00D1296F"/>
    <w:rsid w:val="00D219A3"/>
    <w:rsid w:val="00D2729B"/>
    <w:rsid w:val="00D33807"/>
    <w:rsid w:val="00D33BE3"/>
    <w:rsid w:val="00D354FC"/>
    <w:rsid w:val="00D35722"/>
    <w:rsid w:val="00D3700A"/>
    <w:rsid w:val="00D3792D"/>
    <w:rsid w:val="00D37F09"/>
    <w:rsid w:val="00D42B4A"/>
    <w:rsid w:val="00D4472E"/>
    <w:rsid w:val="00D47281"/>
    <w:rsid w:val="00D528E3"/>
    <w:rsid w:val="00D55CB6"/>
    <w:rsid w:val="00D55E47"/>
    <w:rsid w:val="00D60F56"/>
    <w:rsid w:val="00D6161C"/>
    <w:rsid w:val="00D62E19"/>
    <w:rsid w:val="00D6531C"/>
    <w:rsid w:val="00D67AAD"/>
    <w:rsid w:val="00D67CD1"/>
    <w:rsid w:val="00D71EEF"/>
    <w:rsid w:val="00D72F4C"/>
    <w:rsid w:val="00D738D6"/>
    <w:rsid w:val="00D80795"/>
    <w:rsid w:val="00D81410"/>
    <w:rsid w:val="00D82167"/>
    <w:rsid w:val="00D8532C"/>
    <w:rsid w:val="00D854BE"/>
    <w:rsid w:val="00D86066"/>
    <w:rsid w:val="00D8765A"/>
    <w:rsid w:val="00D87E00"/>
    <w:rsid w:val="00D9134D"/>
    <w:rsid w:val="00D96D11"/>
    <w:rsid w:val="00DA1057"/>
    <w:rsid w:val="00DA2172"/>
    <w:rsid w:val="00DA674E"/>
    <w:rsid w:val="00DA7A03"/>
    <w:rsid w:val="00DB0DB8"/>
    <w:rsid w:val="00DB1818"/>
    <w:rsid w:val="00DB5BEB"/>
    <w:rsid w:val="00DC309B"/>
    <w:rsid w:val="00DC313B"/>
    <w:rsid w:val="00DC31B2"/>
    <w:rsid w:val="00DC4DA2"/>
    <w:rsid w:val="00DC68A5"/>
    <w:rsid w:val="00DD10B2"/>
    <w:rsid w:val="00DD3381"/>
    <w:rsid w:val="00DD4926"/>
    <w:rsid w:val="00DE0338"/>
    <w:rsid w:val="00DE1025"/>
    <w:rsid w:val="00DE38DF"/>
    <w:rsid w:val="00DE7334"/>
    <w:rsid w:val="00DF1402"/>
    <w:rsid w:val="00DF4619"/>
    <w:rsid w:val="00E00884"/>
    <w:rsid w:val="00E03BF0"/>
    <w:rsid w:val="00E0467A"/>
    <w:rsid w:val="00E0527E"/>
    <w:rsid w:val="00E23E4E"/>
    <w:rsid w:val="00E37A0C"/>
    <w:rsid w:val="00E414A9"/>
    <w:rsid w:val="00E428A6"/>
    <w:rsid w:val="00E4582B"/>
    <w:rsid w:val="00E45B78"/>
    <w:rsid w:val="00E46C08"/>
    <w:rsid w:val="00E471CF"/>
    <w:rsid w:val="00E478CB"/>
    <w:rsid w:val="00E50858"/>
    <w:rsid w:val="00E5215F"/>
    <w:rsid w:val="00E5319F"/>
    <w:rsid w:val="00E53339"/>
    <w:rsid w:val="00E55D47"/>
    <w:rsid w:val="00E56F9C"/>
    <w:rsid w:val="00E57B07"/>
    <w:rsid w:val="00E60034"/>
    <w:rsid w:val="00E62835"/>
    <w:rsid w:val="00E63E9D"/>
    <w:rsid w:val="00E64FE2"/>
    <w:rsid w:val="00E66681"/>
    <w:rsid w:val="00E70565"/>
    <w:rsid w:val="00E710B4"/>
    <w:rsid w:val="00E721C4"/>
    <w:rsid w:val="00E73722"/>
    <w:rsid w:val="00E74DF7"/>
    <w:rsid w:val="00E77645"/>
    <w:rsid w:val="00E83697"/>
    <w:rsid w:val="00E8678F"/>
    <w:rsid w:val="00E965B6"/>
    <w:rsid w:val="00E9788D"/>
    <w:rsid w:val="00EA1C4E"/>
    <w:rsid w:val="00EA66C9"/>
    <w:rsid w:val="00EB030A"/>
    <w:rsid w:val="00EB1D49"/>
    <w:rsid w:val="00EB2D77"/>
    <w:rsid w:val="00EB3908"/>
    <w:rsid w:val="00EC4A25"/>
    <w:rsid w:val="00EC617D"/>
    <w:rsid w:val="00EC619D"/>
    <w:rsid w:val="00ED0E0C"/>
    <w:rsid w:val="00ED505F"/>
    <w:rsid w:val="00EE2432"/>
    <w:rsid w:val="00EE2E4E"/>
    <w:rsid w:val="00EE3081"/>
    <w:rsid w:val="00EE36C7"/>
    <w:rsid w:val="00EF390B"/>
    <w:rsid w:val="00EF642D"/>
    <w:rsid w:val="00F025A2"/>
    <w:rsid w:val="00F07388"/>
    <w:rsid w:val="00F07C82"/>
    <w:rsid w:val="00F10287"/>
    <w:rsid w:val="00F112B8"/>
    <w:rsid w:val="00F14B8C"/>
    <w:rsid w:val="00F162C2"/>
    <w:rsid w:val="00F2026E"/>
    <w:rsid w:val="00F2210A"/>
    <w:rsid w:val="00F2470C"/>
    <w:rsid w:val="00F250BE"/>
    <w:rsid w:val="00F252E6"/>
    <w:rsid w:val="00F26DA3"/>
    <w:rsid w:val="00F2786B"/>
    <w:rsid w:val="00F32991"/>
    <w:rsid w:val="00F366A2"/>
    <w:rsid w:val="00F37743"/>
    <w:rsid w:val="00F42547"/>
    <w:rsid w:val="00F426E1"/>
    <w:rsid w:val="00F45A54"/>
    <w:rsid w:val="00F468AF"/>
    <w:rsid w:val="00F47287"/>
    <w:rsid w:val="00F52E65"/>
    <w:rsid w:val="00F54A3D"/>
    <w:rsid w:val="00F54CB0"/>
    <w:rsid w:val="00F653B8"/>
    <w:rsid w:val="00F65AC7"/>
    <w:rsid w:val="00F67170"/>
    <w:rsid w:val="00F674BA"/>
    <w:rsid w:val="00F703DA"/>
    <w:rsid w:val="00F71B89"/>
    <w:rsid w:val="00F734BE"/>
    <w:rsid w:val="00F7353C"/>
    <w:rsid w:val="00F75019"/>
    <w:rsid w:val="00F76F8F"/>
    <w:rsid w:val="00F8250D"/>
    <w:rsid w:val="00F871AA"/>
    <w:rsid w:val="00F90476"/>
    <w:rsid w:val="00F9403B"/>
    <w:rsid w:val="00F941DF"/>
    <w:rsid w:val="00F973C7"/>
    <w:rsid w:val="00F97903"/>
    <w:rsid w:val="00F97CB4"/>
    <w:rsid w:val="00FA1266"/>
    <w:rsid w:val="00FA2F27"/>
    <w:rsid w:val="00FB0799"/>
    <w:rsid w:val="00FB36FA"/>
    <w:rsid w:val="00FB4229"/>
    <w:rsid w:val="00FC1192"/>
    <w:rsid w:val="00FC6D81"/>
    <w:rsid w:val="00FD181E"/>
    <w:rsid w:val="00FE20D5"/>
    <w:rsid w:val="00FE2470"/>
    <w:rsid w:val="00FE251B"/>
    <w:rsid w:val="00FE3231"/>
    <w:rsid w:val="00FE68F7"/>
    <w:rsid w:val="00FF5E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4BE9E3DC-2EBC-4E34-98DF-4A0618B09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F3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7F301A"/>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7F301A"/>
    <w:pPr>
      <w:ind w:left="720"/>
      <w:contextualSpacing/>
    </w:pPr>
  </w:style>
  <w:style w:type="character" w:customStyle="1" w:styleId="NOChar">
    <w:name w:val="NO Char"/>
    <w:link w:val="NO"/>
    <w:rsid w:val="00B50706"/>
    <w:rPr>
      <w:lang w:eastAsia="en-US"/>
    </w:rPr>
  </w:style>
  <w:style w:type="character" w:customStyle="1" w:styleId="B1Zchn">
    <w:name w:val="B1 Zchn"/>
    <w:link w:val="B1"/>
    <w:locked/>
    <w:rsid w:val="00B50706"/>
    <w:rPr>
      <w:lang w:eastAsia="en-US"/>
    </w:rPr>
  </w:style>
  <w:style w:type="paragraph" w:customStyle="1" w:styleId="Doc-text2">
    <w:name w:val="Doc-text2"/>
    <w:basedOn w:val="Normal"/>
    <w:link w:val="Doc-text2Char"/>
    <w:qFormat/>
    <w:rsid w:val="004E08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08CA"/>
    <w:rPr>
      <w:rFonts w:ascii="Arial" w:eastAsia="MS Mincho" w:hAnsi="Arial"/>
      <w:szCs w:val="24"/>
    </w:rPr>
  </w:style>
  <w:style w:type="character" w:customStyle="1" w:styleId="Heading1Char">
    <w:name w:val="Heading 1 Char"/>
    <w:basedOn w:val="DefaultParagraphFont"/>
    <w:link w:val="Heading1"/>
    <w:rsid w:val="005D48F1"/>
    <w:rPr>
      <w:rFonts w:ascii="Arial" w:hAnsi="Arial"/>
      <w:sz w:val="36"/>
      <w:lang w:eastAsia="en-US"/>
    </w:rPr>
  </w:style>
  <w:style w:type="character" w:styleId="CommentReference">
    <w:name w:val="annotation reference"/>
    <w:basedOn w:val="DefaultParagraphFont"/>
    <w:rsid w:val="0097508A"/>
    <w:rPr>
      <w:sz w:val="16"/>
      <w:szCs w:val="16"/>
    </w:rPr>
  </w:style>
  <w:style w:type="paragraph" w:styleId="CommentText">
    <w:name w:val="annotation text"/>
    <w:basedOn w:val="Normal"/>
    <w:link w:val="CommentTextChar"/>
    <w:rsid w:val="0097508A"/>
  </w:style>
  <w:style w:type="character" w:customStyle="1" w:styleId="CommentTextChar">
    <w:name w:val="Comment Text Char"/>
    <w:basedOn w:val="DefaultParagraphFont"/>
    <w:link w:val="CommentText"/>
    <w:rsid w:val="0097508A"/>
    <w:rPr>
      <w:lang w:eastAsia="en-US"/>
    </w:rPr>
  </w:style>
  <w:style w:type="paragraph" w:styleId="CommentSubject">
    <w:name w:val="annotation subject"/>
    <w:basedOn w:val="CommentText"/>
    <w:next w:val="CommentText"/>
    <w:link w:val="CommentSubjectChar"/>
    <w:rsid w:val="0097508A"/>
    <w:rPr>
      <w:b/>
      <w:bCs/>
    </w:rPr>
  </w:style>
  <w:style w:type="character" w:customStyle="1" w:styleId="CommentSubjectChar">
    <w:name w:val="Comment Subject Char"/>
    <w:basedOn w:val="CommentTextChar"/>
    <w:link w:val="CommentSubject"/>
    <w:rsid w:val="0097508A"/>
    <w:rPr>
      <w:b/>
      <w:bCs/>
      <w:lang w:eastAsia="en-US"/>
    </w:rPr>
  </w:style>
  <w:style w:type="character" w:customStyle="1" w:styleId="Heading3Char">
    <w:name w:val="Heading 3 Char"/>
    <w:basedOn w:val="DefaultParagraphFont"/>
    <w:link w:val="Heading3"/>
    <w:rsid w:val="004E1C6E"/>
    <w:rPr>
      <w:rFonts w:ascii="Arial" w:hAnsi="Arial"/>
      <w:sz w:val="28"/>
      <w:lang w:eastAsia="en-US"/>
    </w:rPr>
  </w:style>
  <w:style w:type="paragraph" w:styleId="NormalWeb">
    <w:name w:val="Normal (Web)"/>
    <w:basedOn w:val="Normal"/>
    <w:uiPriority w:val="99"/>
    <w:unhideWhenUsed/>
    <w:rsid w:val="009E3EF2"/>
    <w:pPr>
      <w:spacing w:before="100" w:beforeAutospacing="1" w:after="100" w:afterAutospacing="1"/>
    </w:pPr>
    <w:rPr>
      <w:sz w:val="24"/>
      <w:szCs w:val="24"/>
      <w:lang w:val="en-US" w:eastAsia="zh-CN"/>
    </w:rPr>
  </w:style>
  <w:style w:type="character" w:styleId="FollowedHyperlink">
    <w:name w:val="FollowedHyperlink"/>
    <w:basedOn w:val="DefaultParagraphFont"/>
    <w:rsid w:val="00F426E1"/>
    <w:rPr>
      <w:color w:val="954F72" w:themeColor="followedHyperlink"/>
      <w:u w:val="single"/>
    </w:rPr>
  </w:style>
  <w:style w:type="paragraph" w:styleId="Caption">
    <w:name w:val="caption"/>
    <w:basedOn w:val="Normal"/>
    <w:next w:val="Normal"/>
    <w:unhideWhenUsed/>
    <w:qFormat/>
    <w:rsid w:val="007E23D5"/>
    <w:pPr>
      <w:spacing w:after="200"/>
    </w:pPr>
    <w:rPr>
      <w:i/>
      <w:iCs/>
      <w:color w:val="44546A" w:themeColor="text2"/>
      <w:sz w:val="18"/>
      <w:szCs w:val="18"/>
    </w:rPr>
  </w:style>
  <w:style w:type="character" w:customStyle="1" w:styleId="TALCar">
    <w:name w:val="TAL Car"/>
    <w:link w:val="TAL"/>
    <w:qFormat/>
    <w:locked/>
    <w:rsid w:val="00DA674E"/>
    <w:rPr>
      <w:rFonts w:ascii="Arial" w:hAnsi="Arial"/>
      <w:sz w:val="18"/>
      <w:lang w:eastAsia="en-US"/>
    </w:rPr>
  </w:style>
  <w:style w:type="character" w:customStyle="1" w:styleId="B1Char">
    <w:name w:val="B1 Char"/>
    <w:rsid w:val="00DA674E"/>
    <w:rPr>
      <w:lang w:val="en-GB" w:eastAsia="en-US" w:bidi="ar-SA"/>
    </w:rPr>
  </w:style>
  <w:style w:type="character" w:customStyle="1" w:styleId="THChar">
    <w:name w:val="TH Char"/>
    <w:link w:val="TH"/>
    <w:qFormat/>
    <w:locked/>
    <w:rsid w:val="00DA674E"/>
    <w:rPr>
      <w:rFonts w:ascii="Arial" w:hAnsi="Arial"/>
      <w:b/>
      <w:lang w:eastAsia="en-US"/>
    </w:rPr>
  </w:style>
  <w:style w:type="character" w:customStyle="1" w:styleId="PLChar">
    <w:name w:val="PL Char"/>
    <w:link w:val="PL"/>
    <w:qFormat/>
    <w:rsid w:val="00556C51"/>
    <w:rPr>
      <w:rFonts w:ascii="Courier New" w:hAnsi="Courier New"/>
      <w:noProof/>
      <w:sz w:val="16"/>
      <w:lang w:eastAsia="en-US"/>
    </w:rPr>
  </w:style>
  <w:style w:type="character" w:customStyle="1" w:styleId="TAHCar">
    <w:name w:val="TAH Car"/>
    <w:link w:val="TAH"/>
    <w:qFormat/>
    <w:locked/>
    <w:rsid w:val="00B94D69"/>
    <w:rPr>
      <w:rFonts w:ascii="Arial" w:hAnsi="Arial"/>
      <w:b/>
      <w:sz w:val="18"/>
      <w:lang w:eastAsia="en-US"/>
    </w:rPr>
  </w:style>
  <w:style w:type="character" w:customStyle="1" w:styleId="CommentsChar">
    <w:name w:val="Comments Char"/>
    <w:link w:val="Comments"/>
    <w:qFormat/>
    <w:locked/>
    <w:rsid w:val="0035104C"/>
    <w:rPr>
      <w:rFonts w:ascii="Arial" w:eastAsia="MS Mincho" w:hAnsi="Arial" w:cs="Arial"/>
      <w:i/>
      <w:noProof/>
      <w:sz w:val="18"/>
      <w:szCs w:val="24"/>
    </w:rPr>
  </w:style>
  <w:style w:type="paragraph" w:customStyle="1" w:styleId="Comments">
    <w:name w:val="Comments"/>
    <w:basedOn w:val="Normal"/>
    <w:link w:val="CommentsChar"/>
    <w:qFormat/>
    <w:rsid w:val="0035104C"/>
    <w:pPr>
      <w:spacing w:before="40" w:after="0"/>
    </w:pPr>
    <w:rPr>
      <w:rFonts w:ascii="Arial" w:eastAsia="MS Mincho" w:hAnsi="Arial" w:cs="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877">
      <w:bodyDiv w:val="1"/>
      <w:marLeft w:val="0"/>
      <w:marRight w:val="0"/>
      <w:marTop w:val="0"/>
      <w:marBottom w:val="0"/>
      <w:divBdr>
        <w:top w:val="none" w:sz="0" w:space="0" w:color="auto"/>
        <w:left w:val="none" w:sz="0" w:space="0" w:color="auto"/>
        <w:bottom w:val="none" w:sz="0" w:space="0" w:color="auto"/>
        <w:right w:val="none" w:sz="0" w:space="0" w:color="auto"/>
      </w:divBdr>
    </w:div>
    <w:div w:id="35088270">
      <w:bodyDiv w:val="1"/>
      <w:marLeft w:val="0"/>
      <w:marRight w:val="0"/>
      <w:marTop w:val="0"/>
      <w:marBottom w:val="0"/>
      <w:divBdr>
        <w:top w:val="none" w:sz="0" w:space="0" w:color="auto"/>
        <w:left w:val="none" w:sz="0" w:space="0" w:color="auto"/>
        <w:bottom w:val="none" w:sz="0" w:space="0" w:color="auto"/>
        <w:right w:val="none" w:sz="0" w:space="0" w:color="auto"/>
      </w:divBdr>
    </w:div>
    <w:div w:id="108279630">
      <w:bodyDiv w:val="1"/>
      <w:marLeft w:val="0"/>
      <w:marRight w:val="0"/>
      <w:marTop w:val="0"/>
      <w:marBottom w:val="0"/>
      <w:divBdr>
        <w:top w:val="none" w:sz="0" w:space="0" w:color="auto"/>
        <w:left w:val="none" w:sz="0" w:space="0" w:color="auto"/>
        <w:bottom w:val="none" w:sz="0" w:space="0" w:color="auto"/>
        <w:right w:val="none" w:sz="0" w:space="0" w:color="auto"/>
      </w:divBdr>
    </w:div>
    <w:div w:id="130709530">
      <w:bodyDiv w:val="1"/>
      <w:marLeft w:val="0"/>
      <w:marRight w:val="0"/>
      <w:marTop w:val="0"/>
      <w:marBottom w:val="0"/>
      <w:divBdr>
        <w:top w:val="none" w:sz="0" w:space="0" w:color="auto"/>
        <w:left w:val="none" w:sz="0" w:space="0" w:color="auto"/>
        <w:bottom w:val="none" w:sz="0" w:space="0" w:color="auto"/>
        <w:right w:val="none" w:sz="0" w:space="0" w:color="auto"/>
      </w:divBdr>
      <w:divsChild>
        <w:div w:id="873887769">
          <w:marLeft w:val="994"/>
          <w:marRight w:val="0"/>
          <w:marTop w:val="0"/>
          <w:marBottom w:val="0"/>
          <w:divBdr>
            <w:top w:val="none" w:sz="0" w:space="0" w:color="auto"/>
            <w:left w:val="none" w:sz="0" w:space="0" w:color="auto"/>
            <w:bottom w:val="none" w:sz="0" w:space="0" w:color="auto"/>
            <w:right w:val="none" w:sz="0" w:space="0" w:color="auto"/>
          </w:divBdr>
        </w:div>
        <w:div w:id="2059235571">
          <w:marLeft w:val="994"/>
          <w:marRight w:val="0"/>
          <w:marTop w:val="0"/>
          <w:marBottom w:val="0"/>
          <w:divBdr>
            <w:top w:val="none" w:sz="0" w:space="0" w:color="auto"/>
            <w:left w:val="none" w:sz="0" w:space="0" w:color="auto"/>
            <w:bottom w:val="none" w:sz="0" w:space="0" w:color="auto"/>
            <w:right w:val="none" w:sz="0" w:space="0" w:color="auto"/>
          </w:divBdr>
        </w:div>
        <w:div w:id="4330481">
          <w:marLeft w:val="994"/>
          <w:marRight w:val="0"/>
          <w:marTop w:val="0"/>
          <w:marBottom w:val="0"/>
          <w:divBdr>
            <w:top w:val="none" w:sz="0" w:space="0" w:color="auto"/>
            <w:left w:val="none" w:sz="0" w:space="0" w:color="auto"/>
            <w:bottom w:val="none" w:sz="0" w:space="0" w:color="auto"/>
            <w:right w:val="none" w:sz="0" w:space="0" w:color="auto"/>
          </w:divBdr>
        </w:div>
      </w:divsChild>
    </w:div>
    <w:div w:id="277614095">
      <w:bodyDiv w:val="1"/>
      <w:marLeft w:val="0"/>
      <w:marRight w:val="0"/>
      <w:marTop w:val="0"/>
      <w:marBottom w:val="0"/>
      <w:divBdr>
        <w:top w:val="none" w:sz="0" w:space="0" w:color="auto"/>
        <w:left w:val="none" w:sz="0" w:space="0" w:color="auto"/>
        <w:bottom w:val="none" w:sz="0" w:space="0" w:color="auto"/>
        <w:right w:val="none" w:sz="0" w:space="0" w:color="auto"/>
      </w:divBdr>
    </w:div>
    <w:div w:id="377314725">
      <w:bodyDiv w:val="1"/>
      <w:marLeft w:val="0"/>
      <w:marRight w:val="0"/>
      <w:marTop w:val="0"/>
      <w:marBottom w:val="0"/>
      <w:divBdr>
        <w:top w:val="none" w:sz="0" w:space="0" w:color="auto"/>
        <w:left w:val="none" w:sz="0" w:space="0" w:color="auto"/>
        <w:bottom w:val="none" w:sz="0" w:space="0" w:color="auto"/>
        <w:right w:val="none" w:sz="0" w:space="0" w:color="auto"/>
      </w:divBdr>
      <w:divsChild>
        <w:div w:id="1962758855">
          <w:marLeft w:val="274"/>
          <w:marRight w:val="0"/>
          <w:marTop w:val="0"/>
          <w:marBottom w:val="0"/>
          <w:divBdr>
            <w:top w:val="none" w:sz="0" w:space="0" w:color="auto"/>
            <w:left w:val="none" w:sz="0" w:space="0" w:color="auto"/>
            <w:bottom w:val="none" w:sz="0" w:space="0" w:color="auto"/>
            <w:right w:val="none" w:sz="0" w:space="0" w:color="auto"/>
          </w:divBdr>
        </w:div>
        <w:div w:id="28840550">
          <w:marLeft w:val="274"/>
          <w:marRight w:val="0"/>
          <w:marTop w:val="0"/>
          <w:marBottom w:val="0"/>
          <w:divBdr>
            <w:top w:val="none" w:sz="0" w:space="0" w:color="auto"/>
            <w:left w:val="none" w:sz="0" w:space="0" w:color="auto"/>
            <w:bottom w:val="none" w:sz="0" w:space="0" w:color="auto"/>
            <w:right w:val="none" w:sz="0" w:space="0" w:color="auto"/>
          </w:divBdr>
        </w:div>
        <w:div w:id="1175263725">
          <w:marLeft w:val="274"/>
          <w:marRight w:val="0"/>
          <w:marTop w:val="0"/>
          <w:marBottom w:val="0"/>
          <w:divBdr>
            <w:top w:val="none" w:sz="0" w:space="0" w:color="auto"/>
            <w:left w:val="none" w:sz="0" w:space="0" w:color="auto"/>
            <w:bottom w:val="none" w:sz="0" w:space="0" w:color="auto"/>
            <w:right w:val="none" w:sz="0" w:space="0" w:color="auto"/>
          </w:divBdr>
        </w:div>
      </w:divsChild>
    </w:div>
    <w:div w:id="382219343">
      <w:bodyDiv w:val="1"/>
      <w:marLeft w:val="0"/>
      <w:marRight w:val="0"/>
      <w:marTop w:val="0"/>
      <w:marBottom w:val="0"/>
      <w:divBdr>
        <w:top w:val="none" w:sz="0" w:space="0" w:color="auto"/>
        <w:left w:val="none" w:sz="0" w:space="0" w:color="auto"/>
        <w:bottom w:val="none" w:sz="0" w:space="0" w:color="auto"/>
        <w:right w:val="none" w:sz="0" w:space="0" w:color="auto"/>
      </w:divBdr>
    </w:div>
    <w:div w:id="488715587">
      <w:bodyDiv w:val="1"/>
      <w:marLeft w:val="0"/>
      <w:marRight w:val="0"/>
      <w:marTop w:val="0"/>
      <w:marBottom w:val="0"/>
      <w:divBdr>
        <w:top w:val="none" w:sz="0" w:space="0" w:color="auto"/>
        <w:left w:val="none" w:sz="0" w:space="0" w:color="auto"/>
        <w:bottom w:val="none" w:sz="0" w:space="0" w:color="auto"/>
        <w:right w:val="none" w:sz="0" w:space="0" w:color="auto"/>
      </w:divBdr>
    </w:div>
    <w:div w:id="545064732">
      <w:bodyDiv w:val="1"/>
      <w:marLeft w:val="0"/>
      <w:marRight w:val="0"/>
      <w:marTop w:val="0"/>
      <w:marBottom w:val="0"/>
      <w:divBdr>
        <w:top w:val="none" w:sz="0" w:space="0" w:color="auto"/>
        <w:left w:val="none" w:sz="0" w:space="0" w:color="auto"/>
        <w:bottom w:val="none" w:sz="0" w:space="0" w:color="auto"/>
        <w:right w:val="none" w:sz="0" w:space="0" w:color="auto"/>
      </w:divBdr>
      <w:divsChild>
        <w:div w:id="272715005">
          <w:marLeft w:val="1166"/>
          <w:marRight w:val="0"/>
          <w:marTop w:val="0"/>
          <w:marBottom w:val="0"/>
          <w:divBdr>
            <w:top w:val="none" w:sz="0" w:space="0" w:color="auto"/>
            <w:left w:val="none" w:sz="0" w:space="0" w:color="auto"/>
            <w:bottom w:val="none" w:sz="0" w:space="0" w:color="auto"/>
            <w:right w:val="none" w:sz="0" w:space="0" w:color="auto"/>
          </w:divBdr>
        </w:div>
        <w:div w:id="618027993">
          <w:marLeft w:val="1166"/>
          <w:marRight w:val="0"/>
          <w:marTop w:val="0"/>
          <w:marBottom w:val="0"/>
          <w:divBdr>
            <w:top w:val="none" w:sz="0" w:space="0" w:color="auto"/>
            <w:left w:val="none" w:sz="0" w:space="0" w:color="auto"/>
            <w:bottom w:val="none" w:sz="0" w:space="0" w:color="auto"/>
            <w:right w:val="none" w:sz="0" w:space="0" w:color="auto"/>
          </w:divBdr>
        </w:div>
        <w:div w:id="254747284">
          <w:marLeft w:val="1166"/>
          <w:marRight w:val="0"/>
          <w:marTop w:val="0"/>
          <w:marBottom w:val="0"/>
          <w:divBdr>
            <w:top w:val="none" w:sz="0" w:space="0" w:color="auto"/>
            <w:left w:val="none" w:sz="0" w:space="0" w:color="auto"/>
            <w:bottom w:val="none" w:sz="0" w:space="0" w:color="auto"/>
            <w:right w:val="none" w:sz="0" w:space="0" w:color="auto"/>
          </w:divBdr>
        </w:div>
      </w:divsChild>
    </w:div>
    <w:div w:id="568998568">
      <w:bodyDiv w:val="1"/>
      <w:marLeft w:val="0"/>
      <w:marRight w:val="0"/>
      <w:marTop w:val="0"/>
      <w:marBottom w:val="0"/>
      <w:divBdr>
        <w:top w:val="none" w:sz="0" w:space="0" w:color="auto"/>
        <w:left w:val="none" w:sz="0" w:space="0" w:color="auto"/>
        <w:bottom w:val="none" w:sz="0" w:space="0" w:color="auto"/>
        <w:right w:val="none" w:sz="0" w:space="0" w:color="auto"/>
      </w:divBdr>
    </w:div>
    <w:div w:id="588343855">
      <w:bodyDiv w:val="1"/>
      <w:marLeft w:val="0"/>
      <w:marRight w:val="0"/>
      <w:marTop w:val="0"/>
      <w:marBottom w:val="0"/>
      <w:divBdr>
        <w:top w:val="none" w:sz="0" w:space="0" w:color="auto"/>
        <w:left w:val="none" w:sz="0" w:space="0" w:color="auto"/>
        <w:bottom w:val="none" w:sz="0" w:space="0" w:color="auto"/>
        <w:right w:val="none" w:sz="0" w:space="0" w:color="auto"/>
      </w:divBdr>
    </w:div>
    <w:div w:id="697706394">
      <w:bodyDiv w:val="1"/>
      <w:marLeft w:val="0"/>
      <w:marRight w:val="0"/>
      <w:marTop w:val="0"/>
      <w:marBottom w:val="0"/>
      <w:divBdr>
        <w:top w:val="none" w:sz="0" w:space="0" w:color="auto"/>
        <w:left w:val="none" w:sz="0" w:space="0" w:color="auto"/>
        <w:bottom w:val="none" w:sz="0" w:space="0" w:color="auto"/>
        <w:right w:val="none" w:sz="0" w:space="0" w:color="auto"/>
      </w:divBdr>
      <w:divsChild>
        <w:div w:id="2025015575">
          <w:marLeft w:val="1166"/>
          <w:marRight w:val="0"/>
          <w:marTop w:val="0"/>
          <w:marBottom w:val="0"/>
          <w:divBdr>
            <w:top w:val="none" w:sz="0" w:space="0" w:color="auto"/>
            <w:left w:val="none" w:sz="0" w:space="0" w:color="auto"/>
            <w:bottom w:val="none" w:sz="0" w:space="0" w:color="auto"/>
            <w:right w:val="none" w:sz="0" w:space="0" w:color="auto"/>
          </w:divBdr>
        </w:div>
        <w:div w:id="888224201">
          <w:marLeft w:val="1166"/>
          <w:marRight w:val="0"/>
          <w:marTop w:val="0"/>
          <w:marBottom w:val="0"/>
          <w:divBdr>
            <w:top w:val="none" w:sz="0" w:space="0" w:color="auto"/>
            <w:left w:val="none" w:sz="0" w:space="0" w:color="auto"/>
            <w:bottom w:val="none" w:sz="0" w:space="0" w:color="auto"/>
            <w:right w:val="none" w:sz="0" w:space="0" w:color="auto"/>
          </w:divBdr>
        </w:div>
        <w:div w:id="41365158">
          <w:marLeft w:val="1166"/>
          <w:marRight w:val="0"/>
          <w:marTop w:val="0"/>
          <w:marBottom w:val="0"/>
          <w:divBdr>
            <w:top w:val="none" w:sz="0" w:space="0" w:color="auto"/>
            <w:left w:val="none" w:sz="0" w:space="0" w:color="auto"/>
            <w:bottom w:val="none" w:sz="0" w:space="0" w:color="auto"/>
            <w:right w:val="none" w:sz="0" w:space="0" w:color="auto"/>
          </w:divBdr>
        </w:div>
      </w:divsChild>
    </w:div>
    <w:div w:id="745996712">
      <w:bodyDiv w:val="1"/>
      <w:marLeft w:val="0"/>
      <w:marRight w:val="0"/>
      <w:marTop w:val="0"/>
      <w:marBottom w:val="0"/>
      <w:divBdr>
        <w:top w:val="none" w:sz="0" w:space="0" w:color="auto"/>
        <w:left w:val="none" w:sz="0" w:space="0" w:color="auto"/>
        <w:bottom w:val="none" w:sz="0" w:space="0" w:color="auto"/>
        <w:right w:val="none" w:sz="0" w:space="0" w:color="auto"/>
      </w:divBdr>
    </w:div>
    <w:div w:id="757403286">
      <w:bodyDiv w:val="1"/>
      <w:marLeft w:val="0"/>
      <w:marRight w:val="0"/>
      <w:marTop w:val="0"/>
      <w:marBottom w:val="0"/>
      <w:divBdr>
        <w:top w:val="none" w:sz="0" w:space="0" w:color="auto"/>
        <w:left w:val="none" w:sz="0" w:space="0" w:color="auto"/>
        <w:bottom w:val="none" w:sz="0" w:space="0" w:color="auto"/>
        <w:right w:val="none" w:sz="0" w:space="0" w:color="auto"/>
      </w:divBdr>
    </w:div>
    <w:div w:id="82662822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5259954">
      <w:bodyDiv w:val="1"/>
      <w:marLeft w:val="0"/>
      <w:marRight w:val="0"/>
      <w:marTop w:val="0"/>
      <w:marBottom w:val="0"/>
      <w:divBdr>
        <w:top w:val="none" w:sz="0" w:space="0" w:color="auto"/>
        <w:left w:val="none" w:sz="0" w:space="0" w:color="auto"/>
        <w:bottom w:val="none" w:sz="0" w:space="0" w:color="auto"/>
        <w:right w:val="none" w:sz="0" w:space="0" w:color="auto"/>
      </w:divBdr>
    </w:div>
    <w:div w:id="968895942">
      <w:bodyDiv w:val="1"/>
      <w:marLeft w:val="0"/>
      <w:marRight w:val="0"/>
      <w:marTop w:val="0"/>
      <w:marBottom w:val="0"/>
      <w:divBdr>
        <w:top w:val="none" w:sz="0" w:space="0" w:color="auto"/>
        <w:left w:val="none" w:sz="0" w:space="0" w:color="auto"/>
        <w:bottom w:val="none" w:sz="0" w:space="0" w:color="auto"/>
        <w:right w:val="none" w:sz="0" w:space="0" w:color="auto"/>
      </w:divBdr>
    </w:div>
    <w:div w:id="1091006679">
      <w:bodyDiv w:val="1"/>
      <w:marLeft w:val="0"/>
      <w:marRight w:val="0"/>
      <w:marTop w:val="0"/>
      <w:marBottom w:val="0"/>
      <w:divBdr>
        <w:top w:val="none" w:sz="0" w:space="0" w:color="auto"/>
        <w:left w:val="none" w:sz="0" w:space="0" w:color="auto"/>
        <w:bottom w:val="none" w:sz="0" w:space="0" w:color="auto"/>
        <w:right w:val="none" w:sz="0" w:space="0" w:color="auto"/>
      </w:divBdr>
    </w:div>
    <w:div w:id="11333315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5021872">
      <w:bodyDiv w:val="1"/>
      <w:marLeft w:val="0"/>
      <w:marRight w:val="0"/>
      <w:marTop w:val="0"/>
      <w:marBottom w:val="0"/>
      <w:divBdr>
        <w:top w:val="none" w:sz="0" w:space="0" w:color="auto"/>
        <w:left w:val="none" w:sz="0" w:space="0" w:color="auto"/>
        <w:bottom w:val="none" w:sz="0" w:space="0" w:color="auto"/>
        <w:right w:val="none" w:sz="0" w:space="0" w:color="auto"/>
      </w:divBdr>
    </w:div>
    <w:div w:id="1343168855">
      <w:bodyDiv w:val="1"/>
      <w:marLeft w:val="0"/>
      <w:marRight w:val="0"/>
      <w:marTop w:val="0"/>
      <w:marBottom w:val="0"/>
      <w:divBdr>
        <w:top w:val="none" w:sz="0" w:space="0" w:color="auto"/>
        <w:left w:val="none" w:sz="0" w:space="0" w:color="auto"/>
        <w:bottom w:val="none" w:sz="0" w:space="0" w:color="auto"/>
        <w:right w:val="none" w:sz="0" w:space="0" w:color="auto"/>
      </w:divBdr>
    </w:div>
    <w:div w:id="1364482378">
      <w:bodyDiv w:val="1"/>
      <w:marLeft w:val="0"/>
      <w:marRight w:val="0"/>
      <w:marTop w:val="0"/>
      <w:marBottom w:val="0"/>
      <w:divBdr>
        <w:top w:val="none" w:sz="0" w:space="0" w:color="auto"/>
        <w:left w:val="none" w:sz="0" w:space="0" w:color="auto"/>
        <w:bottom w:val="none" w:sz="0" w:space="0" w:color="auto"/>
        <w:right w:val="none" w:sz="0" w:space="0" w:color="auto"/>
      </w:divBdr>
    </w:div>
    <w:div w:id="1375614835">
      <w:bodyDiv w:val="1"/>
      <w:marLeft w:val="0"/>
      <w:marRight w:val="0"/>
      <w:marTop w:val="0"/>
      <w:marBottom w:val="0"/>
      <w:divBdr>
        <w:top w:val="none" w:sz="0" w:space="0" w:color="auto"/>
        <w:left w:val="none" w:sz="0" w:space="0" w:color="auto"/>
        <w:bottom w:val="none" w:sz="0" w:space="0" w:color="auto"/>
        <w:right w:val="none" w:sz="0" w:space="0" w:color="auto"/>
      </w:divBdr>
    </w:div>
    <w:div w:id="1407606648">
      <w:bodyDiv w:val="1"/>
      <w:marLeft w:val="0"/>
      <w:marRight w:val="0"/>
      <w:marTop w:val="0"/>
      <w:marBottom w:val="0"/>
      <w:divBdr>
        <w:top w:val="none" w:sz="0" w:space="0" w:color="auto"/>
        <w:left w:val="none" w:sz="0" w:space="0" w:color="auto"/>
        <w:bottom w:val="none" w:sz="0" w:space="0" w:color="auto"/>
        <w:right w:val="none" w:sz="0" w:space="0" w:color="auto"/>
      </w:divBdr>
    </w:div>
    <w:div w:id="1508714846">
      <w:bodyDiv w:val="1"/>
      <w:marLeft w:val="0"/>
      <w:marRight w:val="0"/>
      <w:marTop w:val="0"/>
      <w:marBottom w:val="0"/>
      <w:divBdr>
        <w:top w:val="none" w:sz="0" w:space="0" w:color="auto"/>
        <w:left w:val="none" w:sz="0" w:space="0" w:color="auto"/>
        <w:bottom w:val="none" w:sz="0" w:space="0" w:color="auto"/>
        <w:right w:val="none" w:sz="0" w:space="0" w:color="auto"/>
      </w:divBdr>
    </w:div>
    <w:div w:id="1596285902">
      <w:bodyDiv w:val="1"/>
      <w:marLeft w:val="0"/>
      <w:marRight w:val="0"/>
      <w:marTop w:val="0"/>
      <w:marBottom w:val="0"/>
      <w:divBdr>
        <w:top w:val="none" w:sz="0" w:space="0" w:color="auto"/>
        <w:left w:val="none" w:sz="0" w:space="0" w:color="auto"/>
        <w:bottom w:val="none" w:sz="0" w:space="0" w:color="auto"/>
        <w:right w:val="none" w:sz="0" w:space="0" w:color="auto"/>
      </w:divBdr>
    </w:div>
    <w:div w:id="1681351257">
      <w:bodyDiv w:val="1"/>
      <w:marLeft w:val="0"/>
      <w:marRight w:val="0"/>
      <w:marTop w:val="0"/>
      <w:marBottom w:val="0"/>
      <w:divBdr>
        <w:top w:val="none" w:sz="0" w:space="0" w:color="auto"/>
        <w:left w:val="none" w:sz="0" w:space="0" w:color="auto"/>
        <w:bottom w:val="none" w:sz="0" w:space="0" w:color="auto"/>
        <w:right w:val="none" w:sz="0" w:space="0" w:color="auto"/>
      </w:divBdr>
    </w:div>
    <w:div w:id="1732194098">
      <w:bodyDiv w:val="1"/>
      <w:marLeft w:val="0"/>
      <w:marRight w:val="0"/>
      <w:marTop w:val="0"/>
      <w:marBottom w:val="0"/>
      <w:divBdr>
        <w:top w:val="none" w:sz="0" w:space="0" w:color="auto"/>
        <w:left w:val="none" w:sz="0" w:space="0" w:color="auto"/>
        <w:bottom w:val="none" w:sz="0" w:space="0" w:color="auto"/>
        <w:right w:val="none" w:sz="0" w:space="0" w:color="auto"/>
      </w:divBdr>
    </w:div>
    <w:div w:id="1925066990">
      <w:bodyDiv w:val="1"/>
      <w:marLeft w:val="0"/>
      <w:marRight w:val="0"/>
      <w:marTop w:val="0"/>
      <w:marBottom w:val="0"/>
      <w:divBdr>
        <w:top w:val="none" w:sz="0" w:space="0" w:color="auto"/>
        <w:left w:val="none" w:sz="0" w:space="0" w:color="auto"/>
        <w:bottom w:val="none" w:sz="0" w:space="0" w:color="auto"/>
        <w:right w:val="none" w:sz="0" w:space="0" w:color="auto"/>
      </w:divBdr>
    </w:div>
    <w:div w:id="1936787478">
      <w:bodyDiv w:val="1"/>
      <w:marLeft w:val="0"/>
      <w:marRight w:val="0"/>
      <w:marTop w:val="0"/>
      <w:marBottom w:val="0"/>
      <w:divBdr>
        <w:top w:val="none" w:sz="0" w:space="0" w:color="auto"/>
        <w:left w:val="none" w:sz="0" w:space="0" w:color="auto"/>
        <w:bottom w:val="none" w:sz="0" w:space="0" w:color="auto"/>
        <w:right w:val="none" w:sz="0" w:space="0" w:color="auto"/>
      </w:divBdr>
    </w:div>
    <w:div w:id="1941378707">
      <w:bodyDiv w:val="1"/>
      <w:marLeft w:val="0"/>
      <w:marRight w:val="0"/>
      <w:marTop w:val="0"/>
      <w:marBottom w:val="0"/>
      <w:divBdr>
        <w:top w:val="none" w:sz="0" w:space="0" w:color="auto"/>
        <w:left w:val="none" w:sz="0" w:space="0" w:color="auto"/>
        <w:bottom w:val="none" w:sz="0" w:space="0" w:color="auto"/>
        <w:right w:val="none" w:sz="0" w:space="0" w:color="auto"/>
      </w:divBdr>
    </w:div>
    <w:div w:id="2001348503">
      <w:bodyDiv w:val="1"/>
      <w:marLeft w:val="0"/>
      <w:marRight w:val="0"/>
      <w:marTop w:val="0"/>
      <w:marBottom w:val="0"/>
      <w:divBdr>
        <w:top w:val="none" w:sz="0" w:space="0" w:color="auto"/>
        <w:left w:val="none" w:sz="0" w:space="0" w:color="auto"/>
        <w:bottom w:val="none" w:sz="0" w:space="0" w:color="auto"/>
        <w:right w:val="none" w:sz="0" w:space="0" w:color="auto"/>
      </w:divBdr>
    </w:div>
    <w:div w:id="2042775866">
      <w:bodyDiv w:val="1"/>
      <w:marLeft w:val="0"/>
      <w:marRight w:val="0"/>
      <w:marTop w:val="0"/>
      <w:marBottom w:val="0"/>
      <w:divBdr>
        <w:top w:val="none" w:sz="0" w:space="0" w:color="auto"/>
        <w:left w:val="none" w:sz="0" w:space="0" w:color="auto"/>
        <w:bottom w:val="none" w:sz="0" w:space="0" w:color="auto"/>
        <w:right w:val="none" w:sz="0" w:space="0" w:color="auto"/>
      </w:divBdr>
    </w:div>
    <w:div w:id="2049405542">
      <w:bodyDiv w:val="1"/>
      <w:marLeft w:val="0"/>
      <w:marRight w:val="0"/>
      <w:marTop w:val="0"/>
      <w:marBottom w:val="0"/>
      <w:divBdr>
        <w:top w:val="none" w:sz="0" w:space="0" w:color="auto"/>
        <w:left w:val="none" w:sz="0" w:space="0" w:color="auto"/>
        <w:bottom w:val="none" w:sz="0" w:space="0" w:color="auto"/>
        <w:right w:val="none" w:sz="0" w:space="0" w:color="auto"/>
      </w:divBdr>
    </w:div>
    <w:div w:id="207573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A85D0-9BA6-4758-A6A9-00DA6EFF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0F69626-817F-4DAB-A6F9-CE39B57A6B55}">
  <ds:schemaRefs>
    <ds:schemaRef ds:uri="http://schemas.microsoft.com/sharepoint/v3/contenttype/forms"/>
  </ds:schemaRefs>
</ds:datastoreItem>
</file>

<file path=customXml/itemProps3.xml><?xml version="1.0" encoding="utf-8"?>
<ds:datastoreItem xmlns:ds="http://schemas.openxmlformats.org/officeDocument/2006/customXml" ds:itemID="{9B410194-862E-444B-8C58-4ACFB76068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B97CE6-5160-4575-B6F3-92666E780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4</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Koziol</dc:creator>
  <cp:keywords/>
  <cp:lastModifiedBy>Huawei (further update)</cp:lastModifiedBy>
  <cp:revision>364</cp:revision>
  <dcterms:created xsi:type="dcterms:W3CDTF">2021-12-27T03:27:00Z</dcterms:created>
  <dcterms:modified xsi:type="dcterms:W3CDTF">2022-02-14T17:36:00Z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0x010100B60E20C41A573044891B706B2C0BDA8B</vt:lpwstr>
  </property>
  <property fmtid="{D5CDD505-2E9C-101B-9397-08002B2CF9AE}" pid="3" name="_2015_ms_pID_725343">
    <vt:lpwstr>(2)EgFzdVVRCs6QWaxHCoU8QHcQNsx+cpIbCa5F+TjZhC3Kk1a6rQdaCRATA/O/d8muU0lAI/Ct
hNgYIbzGSbZg/0kc0EHlHVlOU1g0SjhmUz5G8HcHSg+fhFAHbFpAoSm/EMbRYZJ1PRUqELlG
J2TMx5Z2s47xlOP6uwHnQ66oIfbzb2TZFJI9FKjMlapEM7DGUpvLDsUQRWR1Tb4nLIAsbe8T
JPv8WQ8VUTYgzecDgh</vt:lpwstr>
  </property>
  <property fmtid="{D5CDD505-2E9C-101B-9397-08002B2CF9AE}" pid="4" name="_2015_ms_pID_7253431">
    <vt:lpwstr>FHKizKuAtJzIU4kRW43TNE3q4BJ5027lsgCfkbXLvDVqkbXbJsHS4Y
iD2FJ861HzgMP0Vxw/3keuJjzMu6t7F1t2cv4SxFKO24vOhq3edg3jTHiGfg99fvmEJP4F53
sJaKXUJF1LHLhEfgD4SQPB39/Fc4lgN9QrkVGitq7PFCCY/j+w4ajDPA+6vCTfp2EccQx3N1
8Hm1lVJySExYcJXc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1644859932</vt:lpwstr>
  </property>
</Properties>
</file>